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header+xml" PartName="/word/header5.xml"/>
  <Override ContentType="application/vnd.openxmlformats-officedocument.wordprocessingml.header+xml" PartName="/word/header6.xml"/>
  <Override ContentType="application/vnd.openxmlformats-officedocument.wordprocessingml.header+xml" PartName="/word/header7.xml"/>
  <Override ContentType="application/vnd.openxmlformats-officedocument.wordprocessingml.header+xml" PartName="/word/header8.xml"/>
  <Override ContentType="application/vnd.openxmlformats-officedocument.wordprocessingml.header+xml" PartName="/word/header9.xml"/>
  <Override ContentType="application/vnd.openxmlformats-officedocument.wordprocessingml.header+xml" PartName="/word/header10.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line="2600" w:lineRule="exact"/>
        <w:ind w:firstLine="0"/>
        <w:jc w:val="center"/>
      </w:pPr>
      <w:r>
        <w:rPr>
          <w:rFonts w:ascii="FZXiaoBiaoSong-B05S" w:hAnsi="FZXiaoBiaoSong-B05S" w:cs="FZXiaoBiaoSong-B05S" w:eastAsia="FZXiaoBiaoSong-B05S"/>
          <w:sz w:val="48"/>
          <w:b w:val="on"/>
          <w:color w:val="000000"/>
        </w:rPr>
        <w:t>天津市西青区王稳庄镇人民政府</w:t>
        <w:br/>
        <w:t>2026年度部门预算公开</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西青区王稳庄镇人民政府的主要职责一是执行本级人民代表大会的决议和上级国家行政机关的决定、命令和本行政区域内的经济和社会计划。搞好本行政区域内教育、科技、文化、卫生、体育事业和民政、司法、计划生育等行政工作。二是以经济建设为中心，大力发展第一、二、三产业，积极完成区政府下达的各项经济指标，努力提高人民群众的生活水平。负责新农村和小城镇建设，搞好社会公益事业，实施科教兴镇战略。三是完成区政府下达的财政、税收、计划生育等项任务。落实社会主义精神文明建设的各项措施和规定，创建文明镇活动，提高广大人民群众的思想道德素质，稳定社会秩序。四是搞好村（居）民委员会的组织建设和制度建设，指导村（居）民委员会依法开展工作，积极做好拥军优属、优抚救济等工作。五是承办区人民政府交办的其他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天津市西青区王稳庄镇人民政府部门内设</w:t>
      </w:r>
      <w:r>
        <w:rPr>
          <w:rFonts w:ascii="仿宋" w:hAnsi="仿宋" w:cs="仿宋" w:eastAsia="仿宋"/>
          <w:sz w:val="30"/>
          <w:b w:val="off"/>
          <w:color w:val="000000"/>
        </w:rPr>
        <w:t>8</w:t>
      </w:r>
      <w:r>
        <w:rPr>
          <w:rFonts w:ascii="仿宋" w:hAnsi="仿宋" w:cs="仿宋" w:eastAsia="仿宋"/>
          <w:sz w:val="30"/>
          <w:b w:val="off"/>
          <w:color w:val="000000"/>
        </w:rPr>
        <w:t>个职能科室；</w:t>
      </w:r>
      <w:r>
        <w:rPr>
          <w:rFonts w:ascii="仿宋" w:hAnsi="仿宋" w:cs="仿宋" w:eastAsia="仿宋"/>
          <w:sz w:val="30"/>
          <w:b w:val="off"/>
          <w:color w:val="000000"/>
        </w:rPr>
        <w:t>下辖13个预算单位。</w:t>
      </w:r>
    </w:p>
    <w:p>
      <w:pPr>
        <w:spacing w:line="560" w:lineRule="exact"/>
        <w:ind w:firstLine="600"/>
        <w:jc w:val="both"/>
      </w:pPr>
      <w:r>
        <w:rPr>
          <w:rFonts w:ascii="仿宋" w:hAnsi="仿宋" w:cs="仿宋" w:eastAsia="仿宋"/>
          <w:sz w:val="30"/>
          <w:b w:val="off"/>
          <w:color w:val="000000"/>
        </w:rPr>
        <w:t>纳入天津市西青区王稳庄镇人民政府部门2026年部门预算编制范围的预算单位包括：</w:t>
      </w:r>
    </w:p>
    <w:p>
      <w:pPr>
        <w:spacing w:line="560" w:lineRule="exact"/>
        <w:ind w:firstLine="600"/>
        <w:jc w:val="both"/>
      </w:pPr>
      <w:r>
        <w:rPr>
          <w:rFonts w:ascii="仿宋" w:hAnsi="仿宋" w:cs="仿宋" w:eastAsia="仿宋"/>
          <w:sz w:val="30"/>
          <w:b w:val="off"/>
          <w:color w:val="000000"/>
        </w:rPr>
        <w:t>1.天津市西青区王稳庄镇人民政府</w:t>
      </w:r>
    </w:p>
    <w:p>
      <w:pPr>
        <w:spacing w:line="560" w:lineRule="exact"/>
        <w:ind w:firstLine="600"/>
        <w:jc w:val="both"/>
      </w:pPr>
      <w:r>
        <w:rPr>
          <w:rFonts w:ascii="仿宋" w:hAnsi="仿宋" w:cs="仿宋" w:eastAsia="仿宋"/>
          <w:sz w:val="30"/>
          <w:b w:val="off"/>
          <w:color w:val="000000"/>
        </w:rPr>
        <w:t>2.天津市西青区王稳庄镇社区卫生服务中心</w:t>
      </w:r>
    </w:p>
    <w:p>
      <w:pPr>
        <w:spacing w:line="560" w:lineRule="exact"/>
        <w:ind w:firstLine="600"/>
        <w:jc w:val="both"/>
      </w:pPr>
      <w:r>
        <w:rPr>
          <w:rFonts w:ascii="仿宋" w:hAnsi="仿宋" w:cs="仿宋" w:eastAsia="仿宋"/>
          <w:sz w:val="30"/>
          <w:b w:val="off"/>
          <w:color w:val="000000"/>
        </w:rPr>
        <w:t>3.天津市西青区王稳庄镇中心小学</w:t>
      </w:r>
    </w:p>
    <w:p>
      <w:pPr>
        <w:spacing w:line="560" w:lineRule="exact"/>
        <w:ind w:firstLine="600"/>
        <w:jc w:val="both"/>
      </w:pPr>
      <w:r>
        <w:rPr>
          <w:rFonts w:ascii="仿宋" w:hAnsi="仿宋" w:cs="仿宋" w:eastAsia="仿宋"/>
          <w:sz w:val="30"/>
          <w:b w:val="off"/>
          <w:color w:val="000000"/>
        </w:rPr>
        <w:t>4.天津市西青区小孙庄中心小学</w:t>
      </w:r>
    </w:p>
    <w:p>
      <w:pPr>
        <w:spacing w:line="560" w:lineRule="exact"/>
        <w:ind w:firstLine="600"/>
        <w:jc w:val="both"/>
      </w:pPr>
      <w:r>
        <w:rPr>
          <w:rFonts w:ascii="仿宋" w:hAnsi="仿宋" w:cs="仿宋" w:eastAsia="仿宋"/>
          <w:sz w:val="30"/>
          <w:b w:val="off"/>
          <w:color w:val="000000"/>
        </w:rPr>
        <w:t>5.天津市西青区东兰坨中心小学</w:t>
      </w:r>
    </w:p>
    <w:p>
      <w:pPr>
        <w:spacing w:line="560" w:lineRule="exact"/>
        <w:ind w:firstLine="600"/>
        <w:jc w:val="both"/>
      </w:pPr>
      <w:r>
        <w:rPr>
          <w:rFonts w:ascii="仿宋" w:hAnsi="仿宋" w:cs="仿宋" w:eastAsia="仿宋"/>
          <w:sz w:val="30"/>
          <w:b w:val="off"/>
          <w:color w:val="000000"/>
        </w:rPr>
        <w:t>6.天津市西青区王稳庄镇中心幼儿园</w:t>
      </w:r>
    </w:p>
    <w:p>
      <w:pPr>
        <w:spacing w:line="560" w:lineRule="exact"/>
        <w:ind w:firstLine="600"/>
        <w:jc w:val="both"/>
      </w:pPr>
      <w:r>
        <w:rPr>
          <w:rFonts w:ascii="仿宋" w:hAnsi="仿宋" w:cs="仿宋" w:eastAsia="仿宋"/>
          <w:sz w:val="30"/>
          <w:b w:val="off"/>
          <w:color w:val="000000"/>
        </w:rPr>
        <w:t>7.天津市西青区王稳庄镇党群服务中心</w:t>
      </w:r>
    </w:p>
    <w:p>
      <w:pPr>
        <w:spacing w:line="560" w:lineRule="exact"/>
        <w:ind w:firstLine="600"/>
        <w:jc w:val="both"/>
      </w:pPr>
      <w:r>
        <w:rPr>
          <w:rFonts w:ascii="仿宋" w:hAnsi="仿宋" w:cs="仿宋" w:eastAsia="仿宋"/>
          <w:sz w:val="30"/>
          <w:b w:val="off"/>
          <w:color w:val="000000"/>
        </w:rPr>
        <w:t>8.天津市西青区王稳庄镇综合治理中心</w:t>
      </w:r>
    </w:p>
    <w:p>
      <w:pPr>
        <w:spacing w:line="560" w:lineRule="exact"/>
        <w:ind w:firstLine="600"/>
        <w:jc w:val="both"/>
      </w:pPr>
      <w:r>
        <w:rPr>
          <w:rFonts w:ascii="仿宋" w:hAnsi="仿宋" w:cs="仿宋" w:eastAsia="仿宋"/>
          <w:sz w:val="30"/>
          <w:b w:val="off"/>
          <w:color w:val="000000"/>
        </w:rPr>
        <w:t>9.天津市西青区王稳庄镇第二幼儿园</w:t>
      </w:r>
    </w:p>
    <w:p>
      <w:pPr>
        <w:spacing w:line="560" w:lineRule="exact"/>
        <w:ind w:firstLine="600"/>
        <w:jc w:val="both"/>
      </w:pPr>
      <w:r>
        <w:rPr>
          <w:rFonts w:ascii="仿宋" w:hAnsi="仿宋" w:cs="仿宋" w:eastAsia="仿宋"/>
          <w:sz w:val="30"/>
          <w:b w:val="off"/>
          <w:color w:val="000000"/>
        </w:rPr>
        <w:t>10.天津市西青区王稳庄镇教育服务中心</w:t>
      </w:r>
    </w:p>
    <w:p>
      <w:pPr>
        <w:spacing w:line="560" w:lineRule="exact"/>
        <w:ind w:firstLine="600"/>
        <w:jc w:val="both"/>
      </w:pPr>
      <w:r>
        <w:rPr>
          <w:rFonts w:ascii="仿宋" w:hAnsi="仿宋" w:cs="仿宋" w:eastAsia="仿宋"/>
          <w:sz w:val="30"/>
          <w:b w:val="off"/>
          <w:color w:val="000000"/>
        </w:rPr>
        <w:t>11.天津市西青区王稳庄镇退役军人服务站</w:t>
      </w:r>
    </w:p>
    <w:p>
      <w:pPr>
        <w:spacing w:line="560" w:lineRule="exact"/>
        <w:ind w:firstLine="600"/>
        <w:jc w:val="both"/>
      </w:pPr>
      <w:r>
        <w:rPr>
          <w:rFonts w:ascii="仿宋" w:hAnsi="仿宋" w:cs="仿宋" w:eastAsia="仿宋"/>
          <w:sz w:val="30"/>
          <w:b w:val="off"/>
          <w:color w:val="000000"/>
        </w:rPr>
        <w:t>12.天津市西青区王稳庄镇农业农村发展服务中心</w:t>
      </w:r>
    </w:p>
    <w:p>
      <w:pPr>
        <w:spacing w:line="560" w:lineRule="exact"/>
        <w:ind w:firstLine="600"/>
        <w:jc w:val="both"/>
      </w:pPr>
      <w:r>
        <w:rPr>
          <w:rFonts w:ascii="仿宋" w:hAnsi="仿宋" w:cs="仿宋" w:eastAsia="仿宋"/>
          <w:sz w:val="30"/>
          <w:b w:val="off"/>
          <w:color w:val="000000"/>
        </w:rPr>
        <w:t>13.天津市西青区王稳庄镇综合执法大队</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2026年度部门预算情况说明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按照综合预算的原则，天津市西青区王稳庄镇人民政府部门所有收入和支出均纳入部门预算管理。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一般公共预算拨款收入23,758.00万元、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事业收入1,342.00万元、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上年结转结余3,798.58万元；</w:t>
      </w:r>
      <w:r>
        <w:rPr>
          <w:rFonts w:ascii="仿宋" w:hAnsi="仿宋" w:cs="仿宋" w:eastAsia="仿宋"/>
          <w:sz w:val="30"/>
          <w:b w:val="off"/>
          <w:color w:val="000000"/>
        </w:rPr>
        <w:t>支出包括：</w:t>
      </w:r>
      <w:r>
        <w:rPr>
          <w:rFonts w:ascii="仿宋" w:hAnsi="仿宋" w:cs="仿宋" w:eastAsia="仿宋"/>
          <w:sz w:val="30"/>
          <w:b w:val="off"/>
          <w:color w:val="000000"/>
        </w:rPr>
        <w:t>文化旅游体育与传媒支出52.63万元、</w:t>
      </w:r>
      <w:r>
        <w:rPr>
          <w:rFonts w:ascii="仿宋" w:hAnsi="仿宋" w:cs="仿宋" w:eastAsia="仿宋"/>
          <w:sz w:val="30"/>
          <w:b w:val="off"/>
          <w:color w:val="000000"/>
        </w:rPr>
        <w:t>农林水支出6,723.43万元、</w:t>
      </w:r>
      <w:r>
        <w:rPr>
          <w:rFonts w:ascii="仿宋" w:hAnsi="仿宋" w:cs="仿宋" w:eastAsia="仿宋"/>
          <w:sz w:val="30"/>
          <w:b w:val="off"/>
          <w:color w:val="000000"/>
        </w:rPr>
        <w:t>其他支出11.00万元、</w:t>
      </w:r>
      <w:r>
        <w:rPr>
          <w:rFonts w:ascii="仿宋" w:hAnsi="仿宋" w:cs="仿宋" w:eastAsia="仿宋"/>
          <w:sz w:val="30"/>
          <w:b w:val="off"/>
          <w:color w:val="000000"/>
        </w:rPr>
        <w:t>节能环保支出1,663.87万元、</w:t>
      </w:r>
      <w:r>
        <w:rPr>
          <w:rFonts w:ascii="仿宋" w:hAnsi="仿宋" w:cs="仿宋" w:eastAsia="仿宋"/>
          <w:sz w:val="30"/>
          <w:b w:val="off"/>
          <w:color w:val="000000"/>
        </w:rPr>
        <w:t>教育支出8,032.99万元、</w:t>
      </w:r>
      <w:r>
        <w:rPr>
          <w:rFonts w:ascii="仿宋" w:hAnsi="仿宋" w:cs="仿宋" w:eastAsia="仿宋"/>
          <w:sz w:val="30"/>
          <w:b w:val="off"/>
          <w:color w:val="000000"/>
        </w:rPr>
        <w:t>科学技术支出1.00万元、</w:t>
      </w:r>
      <w:r>
        <w:rPr>
          <w:rFonts w:ascii="仿宋" w:hAnsi="仿宋" w:cs="仿宋" w:eastAsia="仿宋"/>
          <w:sz w:val="30"/>
          <w:b w:val="off"/>
          <w:color w:val="000000"/>
        </w:rPr>
        <w:t>社会保障和就业支出1,430.76万元、</w:t>
      </w:r>
      <w:r>
        <w:rPr>
          <w:rFonts w:ascii="仿宋" w:hAnsi="仿宋" w:cs="仿宋" w:eastAsia="仿宋"/>
          <w:sz w:val="30"/>
          <w:b w:val="off"/>
          <w:color w:val="000000"/>
        </w:rPr>
        <w:t>一般公共服务支出6,191.07万元、</w:t>
      </w:r>
      <w:r>
        <w:rPr>
          <w:rFonts w:ascii="仿宋" w:hAnsi="仿宋" w:cs="仿宋" w:eastAsia="仿宋"/>
          <w:sz w:val="30"/>
          <w:b w:val="off"/>
          <w:color w:val="000000"/>
        </w:rPr>
        <w:t>公共安全支出907.85万元、</w:t>
      </w:r>
      <w:r>
        <w:rPr>
          <w:rFonts w:ascii="仿宋" w:hAnsi="仿宋" w:cs="仿宋" w:eastAsia="仿宋"/>
          <w:sz w:val="30"/>
          <w:b w:val="off"/>
          <w:color w:val="000000"/>
        </w:rPr>
        <w:t>城乡社区支出1,397.25万元、</w:t>
      </w:r>
      <w:r>
        <w:rPr>
          <w:rFonts w:ascii="仿宋" w:hAnsi="仿宋" w:cs="仿宋" w:eastAsia="仿宋"/>
          <w:sz w:val="30"/>
          <w:b w:val="off"/>
          <w:color w:val="000000"/>
        </w:rPr>
        <w:t>卫生健康支出2,486.73万元。</w:t>
      </w:r>
      <w:r>
        <w:rPr>
          <w:rFonts w:ascii="仿宋" w:hAnsi="仿宋" w:cs="仿宋" w:eastAsia="仿宋"/>
          <w:sz w:val="30"/>
          <w:b w:val="off"/>
          <w:color w:val="000000"/>
        </w:rPr>
        <w:t>天津市西青区王稳庄镇人民政府部门2026年收支总预算</w:t>
      </w:r>
      <w:r>
        <w:rPr>
          <w:rFonts w:ascii="仿宋" w:hAnsi="仿宋" w:cs="仿宋" w:eastAsia="仿宋"/>
          <w:sz w:val="30"/>
          <w:b w:val="off"/>
          <w:color w:val="000000"/>
        </w:rPr>
        <w:t>28,898.58</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560"/>
        <w:jc w:val="both"/>
      </w:pPr>
      <w:r>
        <w:rPr>
          <w:rFonts w:ascii="仿宋" w:hAnsi="仿宋" w:cs="仿宋" w:eastAsia="仿宋"/>
          <w:sz w:val="28"/>
          <w:b w:val="off"/>
          <w:color w:val="000000"/>
        </w:rPr>
        <w:t>天津市西青区王稳庄镇人民政府部门2026年部门预算收入28,898.58万元</w:t>
      </w:r>
      <w:r>
        <w:rPr>
          <w:rFonts w:ascii="仿宋" w:hAnsi="仿宋" w:cs="仿宋" w:eastAsia="仿宋"/>
          <w:sz w:val="30"/>
          <w:b w:val="off"/>
          <w:color w:val="000000"/>
        </w:rPr>
        <w:t>,与2025年预算相比减少13,276.74万元，主要原因是</w:t>
      </w:r>
      <w:r>
        <w:rPr>
          <w:rFonts w:ascii="仿宋" w:hAnsi="仿宋" w:cs="仿宋" w:eastAsia="仿宋"/>
          <w:sz w:val="30"/>
          <w:b w:val="off"/>
          <w:color w:val="000000"/>
        </w:rPr>
        <w:t>2026年我镇结合“过紧日子”要求压减预算安排</w:t>
      </w:r>
      <w:r>
        <w:rPr>
          <w:rFonts w:ascii="仿宋" w:hAnsi="仿宋" w:cs="仿宋" w:eastAsia="仿宋"/>
          <w:sz w:val="30"/>
          <w:b w:val="off"/>
          <w:color w:val="000000"/>
        </w:rPr>
        <w:t>其中：</w:t>
      </w:r>
      <w:r>
        <w:rPr>
          <w:rFonts w:ascii="仿宋" w:hAnsi="仿宋" w:cs="仿宋" w:eastAsia="仿宋"/>
          <w:sz w:val="30"/>
          <w:b w:val="off"/>
          <w:color w:val="000000"/>
        </w:rPr>
        <w:t>上年结转结余3,798.58万元，占0%；</w:t>
      </w:r>
      <w:r>
        <w:rPr>
          <w:rFonts w:ascii="仿宋" w:hAnsi="仿宋" w:cs="仿宋" w:eastAsia="仿宋"/>
          <w:sz w:val="30"/>
          <w:b w:val="off"/>
          <w:color w:val="000000"/>
        </w:rPr>
        <w:t>一般公共预算23,758.00万元，占0%；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事业收入1,342.00万元，占0%；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天津市西青区王稳庄镇人民政府部门2026年支出预算28,898.58万元</w:t>
      </w:r>
      <w:r>
        <w:rPr>
          <w:rFonts w:ascii="仿宋" w:hAnsi="仿宋" w:cs="仿宋" w:eastAsia="仿宋"/>
          <w:sz w:val="30"/>
          <w:b w:val="off"/>
          <w:color w:val="000000"/>
        </w:rPr>
        <w:t>，与2025年预算相比减少13,276.74万元，主要原因是</w:t>
      </w:r>
      <w:r>
        <w:rPr>
          <w:rFonts w:ascii="仿宋" w:hAnsi="仿宋" w:cs="仿宋" w:eastAsia="仿宋"/>
          <w:sz w:val="30"/>
          <w:b w:val="off"/>
          <w:color w:val="000000"/>
        </w:rPr>
        <w:t>2026年我镇结合“过紧日子”要求压减预算安排</w:t>
      </w:r>
      <w:r>
        <w:rPr>
          <w:rFonts w:ascii="仿宋" w:hAnsi="仿宋" w:cs="仿宋" w:eastAsia="仿宋"/>
          <w:sz w:val="30"/>
          <w:b w:val="off"/>
          <w:color w:val="000000"/>
        </w:rPr>
        <w:t>其中：</w:t>
      </w:r>
      <w:r>
        <w:rPr>
          <w:rFonts w:ascii="仿宋" w:hAnsi="仿宋" w:cs="仿宋" w:eastAsia="仿宋"/>
          <w:sz w:val="30"/>
          <w:b w:val="off"/>
          <w:color w:val="000000"/>
        </w:rPr>
        <w:t>基本支出16,609.69万元，占57.48%；</w:t>
      </w:r>
      <w:r>
        <w:rPr>
          <w:rFonts w:ascii="仿宋" w:hAnsi="仿宋" w:cs="仿宋" w:eastAsia="仿宋"/>
          <w:sz w:val="30"/>
          <w:b w:val="off"/>
          <w:color w:val="000000"/>
        </w:rPr>
        <w:t>项目支出12,288.89万元，占42.52%；</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天津市西青区王稳庄镇人民政府部门2026年财政拨款收入预算27,556.58万元</w:t>
      </w:r>
      <w:r>
        <w:rPr>
          <w:rFonts w:ascii="仿宋" w:hAnsi="仿宋" w:cs="仿宋" w:eastAsia="仿宋"/>
          <w:sz w:val="30"/>
          <w:b w:val="off"/>
          <w:color w:val="000000"/>
        </w:rPr>
        <w:t>，与2025年预算相比减少14,618.74万元，主要原因是</w:t>
      </w:r>
      <w:r>
        <w:rPr>
          <w:rFonts w:ascii="仿宋" w:hAnsi="仿宋" w:cs="仿宋" w:eastAsia="仿宋"/>
          <w:sz w:val="30"/>
          <w:b w:val="off"/>
          <w:color w:val="000000"/>
        </w:rPr>
        <w:t>我部门一般公共预算收入预算较上年减少，年末预算稳定调节基金减少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一般公共预算拨款收入23,758.00万元、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上年财政结转结余3,798.58万元、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2026年财政拨款支出预算27,556.58万元</w:t>
      </w:r>
      <w:r>
        <w:rPr>
          <w:rFonts w:ascii="仿宋" w:hAnsi="仿宋" w:cs="仿宋" w:eastAsia="仿宋"/>
          <w:sz w:val="30"/>
          <w:b w:val="off"/>
          <w:color w:val="000000"/>
        </w:rPr>
        <w:t>，与2025年预算相比减少14,618.74万元，主要原因是</w:t>
      </w:r>
      <w:r>
        <w:rPr>
          <w:rFonts w:ascii="仿宋" w:hAnsi="仿宋" w:cs="仿宋" w:eastAsia="仿宋"/>
          <w:sz w:val="30"/>
          <w:b w:val="off"/>
          <w:color w:val="000000"/>
        </w:rPr>
        <w:t>我部门按照“过紧日子”要求，压减一般公共预算支出</w:t>
      </w:r>
      <w:r>
        <w:rPr>
          <w:rFonts w:ascii="仿宋" w:hAnsi="仿宋" w:cs="仿宋" w:eastAsia="仿宋"/>
          <w:sz w:val="30"/>
          <w:b w:val="off"/>
          <w:color w:val="000000"/>
        </w:rPr>
        <w:t>支出包括：</w:t>
      </w:r>
      <w:r>
        <w:rPr>
          <w:rFonts w:ascii="仿宋" w:hAnsi="仿宋" w:cs="仿宋" w:eastAsia="仿宋"/>
          <w:sz w:val="30"/>
          <w:b w:val="off"/>
          <w:color w:val="000000"/>
        </w:rPr>
        <w:t>一般公共服务支出6,191.07万元 ；</w:t>
      </w:r>
      <w:r>
        <w:rPr>
          <w:rFonts w:ascii="仿宋" w:hAnsi="仿宋" w:cs="仿宋" w:eastAsia="仿宋"/>
          <w:sz w:val="30"/>
          <w:b w:val="off"/>
          <w:color w:val="000000"/>
        </w:rPr>
        <w:t>公共安全支出907.85万元 ；</w:t>
      </w:r>
      <w:r>
        <w:rPr>
          <w:rFonts w:ascii="仿宋" w:hAnsi="仿宋" w:cs="仿宋" w:eastAsia="仿宋"/>
          <w:sz w:val="30"/>
          <w:b w:val="off"/>
          <w:color w:val="000000"/>
        </w:rPr>
        <w:t>教育支出8,032.99万元 ；</w:t>
      </w:r>
      <w:r>
        <w:rPr>
          <w:rFonts w:ascii="仿宋" w:hAnsi="仿宋" w:cs="仿宋" w:eastAsia="仿宋"/>
          <w:sz w:val="30"/>
          <w:b w:val="off"/>
          <w:color w:val="000000"/>
        </w:rPr>
        <w:t>科学技术支出1.00万元 ；</w:t>
      </w:r>
      <w:r>
        <w:rPr>
          <w:rFonts w:ascii="仿宋" w:hAnsi="仿宋" w:cs="仿宋" w:eastAsia="仿宋"/>
          <w:sz w:val="30"/>
          <w:b w:val="off"/>
          <w:color w:val="000000"/>
        </w:rPr>
        <w:t>文化旅游体育与传媒支出52.63万元 ；</w:t>
      </w:r>
      <w:r>
        <w:rPr>
          <w:rFonts w:ascii="仿宋" w:hAnsi="仿宋" w:cs="仿宋" w:eastAsia="仿宋"/>
          <w:sz w:val="30"/>
          <w:b w:val="off"/>
          <w:color w:val="000000"/>
        </w:rPr>
        <w:t>社会保障和就业支出1,430.76万元 ；</w:t>
      </w:r>
      <w:r>
        <w:rPr>
          <w:rFonts w:ascii="仿宋" w:hAnsi="仿宋" w:cs="仿宋" w:eastAsia="仿宋"/>
          <w:sz w:val="30"/>
          <w:b w:val="off"/>
          <w:color w:val="000000"/>
        </w:rPr>
        <w:t>卫生健康支出1,144.73万元 ；</w:t>
      </w:r>
      <w:r>
        <w:rPr>
          <w:rFonts w:ascii="仿宋" w:hAnsi="仿宋" w:cs="仿宋" w:eastAsia="仿宋"/>
          <w:sz w:val="30"/>
          <w:b w:val="off"/>
          <w:color w:val="000000"/>
        </w:rPr>
        <w:t>节能环保支出1,663.87万元 ；</w:t>
      </w:r>
      <w:r>
        <w:rPr>
          <w:rFonts w:ascii="仿宋" w:hAnsi="仿宋" w:cs="仿宋" w:eastAsia="仿宋"/>
          <w:sz w:val="30"/>
          <w:b w:val="off"/>
          <w:color w:val="000000"/>
        </w:rPr>
        <w:t>城乡社区支出1,397.25万元 ；</w:t>
      </w:r>
      <w:r>
        <w:rPr>
          <w:rFonts w:ascii="仿宋" w:hAnsi="仿宋" w:cs="仿宋" w:eastAsia="仿宋"/>
          <w:sz w:val="30"/>
          <w:b w:val="off"/>
          <w:color w:val="000000"/>
        </w:rPr>
        <w:t>农林水支出6,723.43万元 ；</w:t>
      </w:r>
      <w:r>
        <w:rPr>
          <w:rFonts w:ascii="仿宋" w:hAnsi="仿宋" w:cs="仿宋" w:eastAsia="仿宋"/>
          <w:sz w:val="30"/>
          <w:b w:val="off"/>
          <w:color w:val="000000"/>
        </w:rPr>
        <w:t>其他支出11.00万元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天津市西青区王稳庄镇人民政府部门2026年一般公共预算支出26,611.60万元</w:t>
      </w:r>
      <w:r>
        <w:rPr>
          <w:rFonts w:ascii="仿宋" w:hAnsi="仿宋" w:cs="仿宋" w:eastAsia="仿宋"/>
          <w:sz w:val="30"/>
          <w:b w:val="off"/>
          <w:color w:val="000000"/>
        </w:rPr>
        <w:t>，与2025预算相比减少13,185.41万元，主要原因是</w:t>
      </w:r>
      <w:r>
        <w:rPr>
          <w:rFonts w:ascii="仿宋" w:hAnsi="仿宋" w:cs="仿宋" w:eastAsia="仿宋"/>
          <w:sz w:val="30"/>
          <w:b w:val="off"/>
          <w:color w:val="000000"/>
        </w:rPr>
        <w:t>我部门一般公共预算收入预算较上年减少，年末预算稳定调节基金减少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1、“一般公共服务支出(类)”6,191.07万元</w:t>
      </w:r>
      <w:r>
        <w:rPr>
          <w:rFonts w:ascii="仿宋" w:hAnsi="仿宋" w:cs="仿宋" w:eastAsia="仿宋"/>
          <w:sz w:val="30"/>
          <w:b w:val="off"/>
          <w:color w:val="000000"/>
        </w:rPr>
        <w:t>，与2025年预算相比减少6,027.94万元，主要原因是</w:t>
      </w:r>
      <w:r>
        <w:rPr>
          <w:rFonts w:ascii="仿宋" w:hAnsi="仿宋" w:cs="仿宋" w:eastAsia="仿宋"/>
          <w:sz w:val="30"/>
          <w:b w:val="off"/>
          <w:color w:val="000000"/>
        </w:rPr>
        <w:t>本年度我部门压减日常运行支出、王稳庄镇稳定运转专项资金项目</w:t>
      </w:r>
      <w:r>
        <w:rPr>
          <w:rFonts w:ascii="仿宋" w:hAnsi="仿宋" w:cs="仿宋" w:eastAsia="仿宋"/>
          <w:sz w:val="30"/>
          <w:b w:val="off"/>
          <w:color w:val="000000"/>
        </w:rPr>
        <w:t>其中：</w:t>
      </w:r>
      <w:r>
        <w:rPr>
          <w:rFonts w:ascii="仿宋" w:hAnsi="仿宋" w:cs="仿宋" w:eastAsia="仿宋"/>
          <w:sz w:val="30"/>
          <w:b w:val="off"/>
          <w:color w:val="000000"/>
        </w:rPr>
        <w:t>“人大事务(款)”13.50万元，包括：</w:t>
      </w:r>
      <w:r>
        <w:rPr>
          <w:rFonts w:ascii="仿宋" w:hAnsi="仿宋" w:cs="仿宋" w:eastAsia="仿宋"/>
          <w:sz w:val="30"/>
          <w:b w:val="off"/>
          <w:color w:val="000000"/>
        </w:rPr>
        <w:t>“代表工作(项)”13.50万元，</w:t>
      </w:r>
      <w:r>
        <w:rPr>
          <w:rFonts w:ascii="仿宋" w:hAnsi="仿宋" w:cs="仿宋" w:eastAsia="仿宋"/>
          <w:sz w:val="30"/>
          <w:b w:val="off"/>
          <w:color w:val="000000"/>
        </w:rPr>
        <w:t>主要用于</w:t>
      </w:r>
      <w:r>
        <w:rPr>
          <w:rFonts w:ascii="仿宋" w:hAnsi="仿宋" w:cs="仿宋" w:eastAsia="仿宋"/>
          <w:sz w:val="30"/>
          <w:b w:val="off"/>
          <w:color w:val="000000"/>
        </w:rPr>
        <w:t>王稳庄镇人大代表服务及工作阵地建设经费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“政府办公厅（室）及相关机构事务(款)”5,346.66万元，包括：</w:t>
      </w:r>
      <w:r>
        <w:rPr>
          <w:rFonts w:ascii="仿宋" w:hAnsi="仿宋" w:cs="仿宋" w:eastAsia="仿宋"/>
          <w:sz w:val="30"/>
          <w:b w:val="off"/>
          <w:color w:val="000000"/>
        </w:rPr>
        <w:t>“行政运行（政府办公厅（室）及相关机构事务）(项)”5,285.66万元，</w:t>
      </w:r>
      <w:r>
        <w:rPr>
          <w:rFonts w:ascii="仿宋" w:hAnsi="仿宋" w:cs="仿宋" w:eastAsia="仿宋"/>
          <w:sz w:val="30"/>
          <w:b w:val="off"/>
          <w:color w:val="000000"/>
        </w:rPr>
        <w:t>主要用于</w:t>
      </w:r>
      <w:r>
        <w:rPr>
          <w:rFonts w:ascii="仿宋" w:hAnsi="仿宋" w:cs="仿宋" w:eastAsia="仿宋"/>
          <w:sz w:val="30"/>
          <w:b w:val="off"/>
          <w:color w:val="000000"/>
        </w:rPr>
        <w:t>王稳庄镇日常运行支出、王稳庄镇稳定运转专项资金项目</w:t>
      </w:r>
      <w:r>
        <w:rPr>
          <w:rFonts w:ascii="仿宋" w:hAnsi="仿宋" w:cs="仿宋" w:eastAsia="仿宋"/>
          <w:sz w:val="30"/>
          <w:b w:val="off"/>
          <w:color w:val="000000"/>
        </w:rPr>
        <w:t>；</w:t>
      </w:r>
      <w:r>
        <w:rPr>
          <w:rFonts w:ascii="仿宋" w:hAnsi="仿宋" w:cs="仿宋" w:eastAsia="仿宋"/>
          <w:sz w:val="30"/>
          <w:b w:val="off"/>
          <w:color w:val="000000"/>
        </w:rPr>
        <w:t>“其他政府办公厅（室）及相关机构事务支出(项)”61.00万元，</w:t>
      </w:r>
      <w:r>
        <w:rPr>
          <w:rFonts w:ascii="仿宋" w:hAnsi="仿宋" w:cs="仿宋" w:eastAsia="仿宋"/>
          <w:sz w:val="30"/>
          <w:b w:val="off"/>
          <w:color w:val="000000"/>
        </w:rPr>
        <w:t>主要用于</w:t>
      </w:r>
      <w:r>
        <w:rPr>
          <w:rFonts w:ascii="仿宋" w:hAnsi="仿宋" w:cs="仿宋" w:eastAsia="仿宋"/>
          <w:sz w:val="30"/>
          <w:b w:val="off"/>
          <w:color w:val="000000"/>
        </w:rPr>
        <w:t>王稳庄镇规划项目等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“统计信息事务(款)”20.04万元，包括：</w:t>
      </w:r>
      <w:r>
        <w:rPr>
          <w:rFonts w:ascii="仿宋" w:hAnsi="仿宋" w:cs="仿宋" w:eastAsia="仿宋"/>
          <w:sz w:val="30"/>
          <w:b w:val="off"/>
          <w:color w:val="000000"/>
        </w:rPr>
        <w:t>“专项普查活动(项)”20.04万元，</w:t>
      </w:r>
      <w:r>
        <w:rPr>
          <w:rFonts w:ascii="仿宋" w:hAnsi="仿宋" w:cs="仿宋" w:eastAsia="仿宋"/>
          <w:sz w:val="30"/>
          <w:b w:val="off"/>
          <w:color w:val="000000"/>
        </w:rPr>
        <w:t>主要用于</w:t>
      </w:r>
      <w:r>
        <w:rPr>
          <w:rFonts w:ascii="仿宋" w:hAnsi="仿宋" w:cs="仿宋" w:eastAsia="仿宋"/>
          <w:sz w:val="30"/>
          <w:b w:val="off"/>
          <w:color w:val="000000"/>
        </w:rPr>
        <w:t>王稳庄镇经济普查项目及统计业务项目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“党委办公厅（室）及相关机构事务(款)”56.16万元，包括：</w:t>
      </w:r>
      <w:r>
        <w:rPr>
          <w:rFonts w:ascii="仿宋" w:hAnsi="仿宋" w:cs="仿宋" w:eastAsia="仿宋"/>
          <w:sz w:val="30"/>
          <w:b w:val="off"/>
          <w:color w:val="000000"/>
        </w:rPr>
        <w:t>“一般行政管理事务（党委办公厅（室）及相关机构事务）(项)”56.16万元，</w:t>
      </w:r>
      <w:r>
        <w:rPr>
          <w:rFonts w:ascii="仿宋" w:hAnsi="仿宋" w:cs="仿宋" w:eastAsia="仿宋"/>
          <w:sz w:val="30"/>
          <w:b w:val="off"/>
          <w:color w:val="000000"/>
        </w:rPr>
        <w:t>主要用于</w:t>
      </w:r>
      <w:r>
        <w:rPr>
          <w:rFonts w:ascii="仿宋" w:hAnsi="仿宋" w:cs="仿宋" w:eastAsia="仿宋"/>
          <w:sz w:val="30"/>
          <w:b w:val="off"/>
          <w:color w:val="000000"/>
        </w:rPr>
        <w:t>严重精神病障碍患者监护人看护管理补贴经费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“组织事务(款)”97.18万元，包括：</w:t>
      </w:r>
      <w:r>
        <w:rPr>
          <w:rFonts w:ascii="仿宋" w:hAnsi="仿宋" w:cs="仿宋" w:eastAsia="仿宋"/>
          <w:sz w:val="30"/>
          <w:b w:val="off"/>
          <w:color w:val="000000"/>
        </w:rPr>
        <w:t>“行政运行（组织事务）(项)”1.65万元，</w:t>
      </w:r>
      <w:r>
        <w:rPr>
          <w:rFonts w:ascii="仿宋" w:hAnsi="仿宋" w:cs="仿宋" w:eastAsia="仿宋"/>
          <w:sz w:val="30"/>
          <w:b w:val="off"/>
          <w:color w:val="000000"/>
        </w:rPr>
        <w:t>主要用于</w:t>
      </w:r>
      <w:r>
        <w:rPr>
          <w:rFonts w:ascii="仿宋" w:hAnsi="仿宋" w:cs="仿宋" w:eastAsia="仿宋"/>
          <w:sz w:val="30"/>
          <w:b w:val="off"/>
          <w:color w:val="000000"/>
        </w:rPr>
        <w:t>春节慰问单亲困难母亲及退休人员慰问经费</w:t>
      </w:r>
      <w:r>
        <w:rPr>
          <w:rFonts w:ascii="仿宋" w:hAnsi="仿宋" w:cs="仿宋" w:eastAsia="仿宋"/>
          <w:sz w:val="30"/>
          <w:b w:val="off"/>
          <w:color w:val="000000"/>
        </w:rPr>
        <w:t>；</w:t>
      </w:r>
      <w:r>
        <w:rPr>
          <w:rFonts w:ascii="仿宋" w:hAnsi="仿宋" w:cs="仿宋" w:eastAsia="仿宋"/>
          <w:sz w:val="30"/>
          <w:b w:val="off"/>
          <w:color w:val="000000"/>
        </w:rPr>
        <w:t>“一般行政管理事务（组织事务）(项)”64.45万元，</w:t>
      </w:r>
      <w:r>
        <w:rPr>
          <w:rFonts w:ascii="仿宋" w:hAnsi="仿宋" w:cs="仿宋" w:eastAsia="仿宋"/>
          <w:sz w:val="30"/>
          <w:b w:val="off"/>
          <w:color w:val="000000"/>
        </w:rPr>
        <w:t>主要用于</w:t>
      </w:r>
      <w:r>
        <w:rPr>
          <w:rFonts w:ascii="仿宋" w:hAnsi="仿宋" w:cs="仿宋" w:eastAsia="仿宋"/>
          <w:sz w:val="30"/>
          <w:b w:val="off"/>
          <w:color w:val="000000"/>
        </w:rPr>
        <w:t>基层党建工作经费支出</w:t>
      </w:r>
      <w:r>
        <w:rPr>
          <w:rFonts w:ascii="仿宋" w:hAnsi="仿宋" w:cs="仿宋" w:eastAsia="仿宋"/>
          <w:sz w:val="30"/>
          <w:b w:val="off"/>
          <w:color w:val="000000"/>
        </w:rPr>
        <w:t>；</w:t>
      </w:r>
      <w:r>
        <w:rPr>
          <w:rFonts w:ascii="仿宋" w:hAnsi="仿宋" w:cs="仿宋" w:eastAsia="仿宋"/>
          <w:sz w:val="30"/>
          <w:b w:val="off"/>
          <w:color w:val="000000"/>
        </w:rPr>
        <w:t>“其他组织事务支出(项)”31.08万元，</w:t>
      </w:r>
      <w:r>
        <w:rPr>
          <w:rFonts w:ascii="仿宋" w:hAnsi="仿宋" w:cs="仿宋" w:eastAsia="仿宋"/>
          <w:sz w:val="30"/>
          <w:b w:val="off"/>
          <w:color w:val="000000"/>
        </w:rPr>
        <w:t>主要用于</w:t>
      </w:r>
      <w:r>
        <w:rPr>
          <w:rFonts w:ascii="仿宋" w:hAnsi="仿宋" w:cs="仿宋" w:eastAsia="仿宋"/>
          <w:sz w:val="30"/>
          <w:b w:val="off"/>
          <w:color w:val="000000"/>
        </w:rPr>
        <w:t>党务工作者、两新工作者人员支出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“市场监督管理事务(款)”57.28万元，包括：</w:t>
      </w:r>
      <w:r>
        <w:rPr>
          <w:rFonts w:ascii="仿宋" w:hAnsi="仿宋" w:cs="仿宋" w:eastAsia="仿宋"/>
          <w:sz w:val="30"/>
          <w:b w:val="off"/>
          <w:color w:val="000000"/>
        </w:rPr>
        <w:t>“食品安全监管(项)”17.28万元，</w:t>
      </w:r>
      <w:r>
        <w:rPr>
          <w:rFonts w:ascii="仿宋" w:hAnsi="仿宋" w:cs="仿宋" w:eastAsia="仿宋"/>
          <w:sz w:val="30"/>
          <w:b w:val="off"/>
          <w:color w:val="000000"/>
        </w:rPr>
        <w:t>主要用于</w:t>
      </w:r>
      <w:r>
        <w:rPr>
          <w:rFonts w:ascii="仿宋" w:hAnsi="仿宋" w:cs="仿宋" w:eastAsia="仿宋"/>
          <w:sz w:val="30"/>
          <w:b w:val="off"/>
          <w:color w:val="000000"/>
        </w:rPr>
        <w:t>食品安全协管员补贴</w:t>
      </w:r>
      <w:r>
        <w:rPr>
          <w:rFonts w:ascii="仿宋" w:hAnsi="仿宋" w:cs="仿宋" w:eastAsia="仿宋"/>
          <w:sz w:val="30"/>
          <w:b w:val="off"/>
          <w:color w:val="000000"/>
        </w:rPr>
        <w:t>；</w:t>
      </w:r>
      <w:r>
        <w:rPr>
          <w:rFonts w:ascii="仿宋" w:hAnsi="仿宋" w:cs="仿宋" w:eastAsia="仿宋"/>
          <w:sz w:val="30"/>
          <w:b w:val="off"/>
          <w:color w:val="000000"/>
        </w:rPr>
        <w:t>“事业运行（市场监督管理事务）(项)”40.00万元，</w:t>
      </w:r>
      <w:r>
        <w:rPr>
          <w:rFonts w:ascii="仿宋" w:hAnsi="仿宋" w:cs="仿宋" w:eastAsia="仿宋"/>
          <w:sz w:val="30"/>
          <w:b w:val="off"/>
          <w:color w:val="000000"/>
        </w:rPr>
        <w:t>主要用于</w:t>
      </w:r>
      <w:r>
        <w:rPr>
          <w:rFonts w:ascii="仿宋" w:hAnsi="仿宋" w:cs="仿宋" w:eastAsia="仿宋"/>
          <w:sz w:val="30"/>
          <w:b w:val="off"/>
          <w:color w:val="000000"/>
        </w:rPr>
        <w:t>民政运行经费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“社会工作事务(款)”600.25万元，包括：</w:t>
      </w:r>
      <w:r>
        <w:rPr>
          <w:rFonts w:ascii="仿宋" w:hAnsi="仿宋" w:cs="仿宋" w:eastAsia="仿宋"/>
          <w:sz w:val="30"/>
          <w:b w:val="off"/>
          <w:color w:val="000000"/>
        </w:rPr>
        <w:t>“专项业务（社会工作事务）(项)”25.07万元，</w:t>
      </w:r>
      <w:r>
        <w:rPr>
          <w:rFonts w:ascii="仿宋" w:hAnsi="仿宋" w:cs="仿宋" w:eastAsia="仿宋"/>
          <w:sz w:val="30"/>
          <w:b w:val="off"/>
          <w:color w:val="000000"/>
        </w:rPr>
        <w:t>主要用于</w:t>
      </w:r>
      <w:r>
        <w:rPr>
          <w:rFonts w:ascii="仿宋" w:hAnsi="仿宋" w:cs="仿宋" w:eastAsia="仿宋"/>
          <w:sz w:val="30"/>
          <w:b w:val="off"/>
          <w:color w:val="000000"/>
        </w:rPr>
        <w:t>社区服务群众专项经费</w:t>
      </w:r>
      <w:r>
        <w:rPr>
          <w:rFonts w:ascii="仿宋" w:hAnsi="仿宋" w:cs="仿宋" w:eastAsia="仿宋"/>
          <w:sz w:val="30"/>
          <w:b w:val="off"/>
          <w:color w:val="000000"/>
        </w:rPr>
        <w:t>；</w:t>
      </w:r>
      <w:r>
        <w:rPr>
          <w:rFonts w:ascii="仿宋" w:hAnsi="仿宋" w:cs="仿宋" w:eastAsia="仿宋"/>
          <w:sz w:val="30"/>
          <w:b w:val="off"/>
          <w:color w:val="000000"/>
        </w:rPr>
        <w:t>“事业运行（社会工作事务）(项)”575.18万元，</w:t>
      </w:r>
      <w:r>
        <w:rPr>
          <w:rFonts w:ascii="仿宋" w:hAnsi="仿宋" w:cs="仿宋" w:eastAsia="仿宋"/>
          <w:sz w:val="30"/>
          <w:b w:val="off"/>
          <w:color w:val="000000"/>
        </w:rPr>
        <w:t>主要用于</w:t>
      </w:r>
      <w:r>
        <w:rPr>
          <w:rFonts w:ascii="仿宋" w:hAnsi="仿宋" w:cs="仿宋" w:eastAsia="仿宋"/>
          <w:sz w:val="30"/>
          <w:b w:val="off"/>
          <w:color w:val="000000"/>
        </w:rPr>
        <w:t>社工工资等项目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2、“公共安全支出(类)”907.85万元</w:t>
      </w:r>
      <w:r>
        <w:rPr>
          <w:rFonts w:ascii="仿宋" w:hAnsi="仿宋" w:cs="仿宋" w:eastAsia="仿宋"/>
          <w:sz w:val="30"/>
          <w:b w:val="off"/>
          <w:color w:val="000000"/>
        </w:rPr>
        <w:t>，与2025年预算相比减少76.88万元，主要原因是</w:t>
      </w:r>
      <w:r>
        <w:rPr>
          <w:rFonts w:ascii="仿宋" w:hAnsi="仿宋" w:cs="仿宋" w:eastAsia="仿宋"/>
          <w:sz w:val="30"/>
          <w:b w:val="off"/>
          <w:color w:val="000000"/>
        </w:rPr>
        <w:t>我部门压减公共安全支出</w:t>
      </w:r>
      <w:r>
        <w:rPr>
          <w:rFonts w:ascii="仿宋" w:hAnsi="仿宋" w:cs="仿宋" w:eastAsia="仿宋"/>
          <w:sz w:val="30"/>
          <w:b w:val="off"/>
          <w:color w:val="000000"/>
        </w:rPr>
        <w:t>其中：</w:t>
      </w:r>
      <w:r>
        <w:rPr>
          <w:rFonts w:ascii="仿宋" w:hAnsi="仿宋" w:cs="仿宋" w:eastAsia="仿宋"/>
          <w:sz w:val="30"/>
          <w:b w:val="off"/>
          <w:color w:val="000000"/>
        </w:rPr>
        <w:t>“公安(款)”12.83万元，包括：</w:t>
      </w:r>
      <w:r>
        <w:rPr>
          <w:rFonts w:ascii="仿宋" w:hAnsi="仿宋" w:cs="仿宋" w:eastAsia="仿宋"/>
          <w:sz w:val="30"/>
          <w:b w:val="off"/>
          <w:color w:val="000000"/>
        </w:rPr>
        <w:t>“其他公安支出(项)”12.83万元，</w:t>
      </w:r>
      <w:r>
        <w:rPr>
          <w:rFonts w:ascii="仿宋" w:hAnsi="仿宋" w:cs="仿宋" w:eastAsia="仿宋"/>
          <w:sz w:val="30"/>
          <w:b w:val="off"/>
          <w:color w:val="000000"/>
        </w:rPr>
        <w:t>主要用于</w:t>
      </w:r>
      <w:r>
        <w:rPr>
          <w:rFonts w:ascii="仿宋" w:hAnsi="仿宋" w:cs="仿宋" w:eastAsia="仿宋"/>
          <w:sz w:val="30"/>
          <w:b w:val="off"/>
          <w:color w:val="000000"/>
        </w:rPr>
        <w:t>铁路护路以奖代补资金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“其他公共安全支出(款)”895.03万元，包括：</w:t>
      </w:r>
      <w:r>
        <w:rPr>
          <w:rFonts w:ascii="仿宋" w:hAnsi="仿宋" w:cs="仿宋" w:eastAsia="仿宋"/>
          <w:sz w:val="30"/>
          <w:b w:val="off"/>
          <w:color w:val="000000"/>
        </w:rPr>
        <w:t>“其他公共安全支出(项)”895.03万元，</w:t>
      </w:r>
      <w:r>
        <w:rPr>
          <w:rFonts w:ascii="仿宋" w:hAnsi="仿宋" w:cs="仿宋" w:eastAsia="仿宋"/>
          <w:sz w:val="30"/>
          <w:b w:val="off"/>
          <w:color w:val="000000"/>
        </w:rPr>
        <w:t>主要用于</w:t>
      </w:r>
      <w:r>
        <w:rPr>
          <w:rFonts w:ascii="仿宋" w:hAnsi="仿宋" w:cs="仿宋" w:eastAsia="仿宋"/>
          <w:sz w:val="30"/>
          <w:b w:val="off"/>
          <w:color w:val="000000"/>
        </w:rPr>
        <w:t>维稳项目经费、一村一律经费及综合执法大队人员类及共用支出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3、“教育支出(类)”8,032.99万元</w:t>
      </w:r>
      <w:r>
        <w:rPr>
          <w:rFonts w:ascii="仿宋" w:hAnsi="仿宋" w:cs="仿宋" w:eastAsia="仿宋"/>
          <w:sz w:val="30"/>
          <w:b w:val="off"/>
          <w:color w:val="000000"/>
        </w:rPr>
        <w:t>，与2025年预算相比减少43.24万元，主要原因是</w:t>
      </w:r>
      <w:r>
        <w:rPr>
          <w:rFonts w:ascii="仿宋" w:hAnsi="仿宋" w:cs="仿宋" w:eastAsia="仿宋"/>
          <w:sz w:val="30"/>
          <w:b w:val="off"/>
          <w:color w:val="000000"/>
        </w:rPr>
        <w:t>我部门三所义务教育小学、两所幼儿园、一所教育服务中心支出，压减一般公用经费支出</w:t>
      </w:r>
      <w:r>
        <w:rPr>
          <w:rFonts w:ascii="仿宋" w:hAnsi="仿宋" w:cs="仿宋" w:eastAsia="仿宋"/>
          <w:sz w:val="30"/>
          <w:b w:val="off"/>
          <w:color w:val="000000"/>
        </w:rPr>
        <w:t>其中：</w:t>
      </w:r>
      <w:r>
        <w:rPr>
          <w:rFonts w:ascii="仿宋" w:hAnsi="仿宋" w:cs="仿宋" w:eastAsia="仿宋"/>
          <w:sz w:val="30"/>
          <w:b w:val="off"/>
          <w:color w:val="000000"/>
        </w:rPr>
        <w:t>“普通教育(款)”7,924.95万元，包括：</w:t>
      </w:r>
      <w:r>
        <w:rPr>
          <w:rFonts w:ascii="仿宋" w:hAnsi="仿宋" w:cs="仿宋" w:eastAsia="仿宋"/>
          <w:sz w:val="30"/>
          <w:b w:val="off"/>
          <w:color w:val="000000"/>
        </w:rPr>
        <w:t>“学前教育(项)”1,065.86万元，</w:t>
      </w:r>
      <w:r>
        <w:rPr>
          <w:rFonts w:ascii="仿宋" w:hAnsi="仿宋" w:cs="仿宋" w:eastAsia="仿宋"/>
          <w:sz w:val="30"/>
          <w:b w:val="off"/>
          <w:color w:val="000000"/>
        </w:rPr>
        <w:t>主要用于</w:t>
      </w:r>
      <w:r>
        <w:rPr>
          <w:rFonts w:ascii="仿宋" w:hAnsi="仿宋" w:cs="仿宋" w:eastAsia="仿宋"/>
          <w:sz w:val="30"/>
          <w:b w:val="off"/>
          <w:color w:val="000000"/>
        </w:rPr>
        <w:t>两所幼儿园日常运行支出</w:t>
      </w:r>
      <w:r>
        <w:rPr>
          <w:rFonts w:ascii="仿宋" w:hAnsi="仿宋" w:cs="仿宋" w:eastAsia="仿宋"/>
          <w:sz w:val="30"/>
          <w:b w:val="off"/>
          <w:color w:val="000000"/>
        </w:rPr>
        <w:t>；</w:t>
      </w:r>
      <w:r>
        <w:rPr>
          <w:rFonts w:ascii="仿宋" w:hAnsi="仿宋" w:cs="仿宋" w:eastAsia="仿宋"/>
          <w:sz w:val="30"/>
          <w:b w:val="off"/>
          <w:color w:val="000000"/>
        </w:rPr>
        <w:t>“小学教育(项)”6,859.10万元，</w:t>
      </w:r>
      <w:r>
        <w:rPr>
          <w:rFonts w:ascii="仿宋" w:hAnsi="仿宋" w:cs="仿宋" w:eastAsia="仿宋"/>
          <w:sz w:val="30"/>
          <w:b w:val="off"/>
          <w:color w:val="000000"/>
        </w:rPr>
        <w:t>主要用于</w:t>
      </w:r>
      <w:r>
        <w:rPr>
          <w:rFonts w:ascii="仿宋" w:hAnsi="仿宋" w:cs="仿宋" w:eastAsia="仿宋"/>
          <w:sz w:val="30"/>
          <w:b w:val="off"/>
          <w:color w:val="000000"/>
        </w:rPr>
        <w:t>三所小学日常运行支出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“成人教育(款)”100.10万元，包括：</w:t>
      </w:r>
      <w:r>
        <w:rPr>
          <w:rFonts w:ascii="仿宋" w:hAnsi="仿宋" w:cs="仿宋" w:eastAsia="仿宋"/>
          <w:sz w:val="30"/>
          <w:b w:val="off"/>
          <w:color w:val="000000"/>
        </w:rPr>
        <w:t>“其他成人教育支出(项)”100.10万元，</w:t>
      </w:r>
      <w:r>
        <w:rPr>
          <w:rFonts w:ascii="仿宋" w:hAnsi="仿宋" w:cs="仿宋" w:eastAsia="仿宋"/>
          <w:sz w:val="30"/>
          <w:b w:val="off"/>
          <w:color w:val="000000"/>
        </w:rPr>
        <w:t>主要用于</w:t>
      </w:r>
      <w:r>
        <w:rPr>
          <w:rFonts w:ascii="仿宋" w:hAnsi="仿宋" w:cs="仿宋" w:eastAsia="仿宋"/>
          <w:sz w:val="30"/>
          <w:b w:val="off"/>
          <w:color w:val="000000"/>
        </w:rPr>
        <w:t>教育服务中心日常运行支出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“进修及培训(款)”7.94万元，包括：</w:t>
      </w:r>
      <w:r>
        <w:rPr>
          <w:rFonts w:ascii="仿宋" w:hAnsi="仿宋" w:cs="仿宋" w:eastAsia="仿宋"/>
          <w:sz w:val="30"/>
          <w:b w:val="off"/>
          <w:color w:val="000000"/>
        </w:rPr>
        <w:t>“培训支出(项)”7.94万元，</w:t>
      </w:r>
      <w:r>
        <w:rPr>
          <w:rFonts w:ascii="仿宋" w:hAnsi="仿宋" w:cs="仿宋" w:eastAsia="仿宋"/>
          <w:sz w:val="30"/>
          <w:b w:val="off"/>
          <w:color w:val="000000"/>
        </w:rPr>
        <w:t>主要用于</w:t>
      </w:r>
      <w:r>
        <w:rPr>
          <w:rFonts w:ascii="仿宋" w:hAnsi="仿宋" w:cs="仿宋" w:eastAsia="仿宋"/>
          <w:sz w:val="30"/>
          <w:b w:val="off"/>
          <w:color w:val="000000"/>
        </w:rPr>
        <w:t>各单位培训支出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4、“科学技术支出(类)”1.00万元</w:t>
      </w:r>
      <w:r>
        <w:rPr>
          <w:rFonts w:ascii="仿宋" w:hAnsi="仿宋" w:cs="仿宋" w:eastAsia="仿宋"/>
          <w:sz w:val="30"/>
          <w:b w:val="off"/>
          <w:color w:val="000000"/>
        </w:rPr>
        <w:t>，与2025年预算相比减少14.00万元，主要原因是</w:t>
      </w:r>
      <w:r>
        <w:rPr>
          <w:rFonts w:ascii="仿宋" w:hAnsi="仿宋" w:cs="仿宋" w:eastAsia="仿宋"/>
          <w:sz w:val="30"/>
          <w:b w:val="off"/>
          <w:color w:val="000000"/>
        </w:rPr>
        <w:t>我部门压减一般公共预算支出，安排科学技术支出减少</w:t>
      </w:r>
      <w:r>
        <w:rPr>
          <w:rFonts w:ascii="仿宋" w:hAnsi="仿宋" w:cs="仿宋" w:eastAsia="仿宋"/>
          <w:sz w:val="30"/>
          <w:b w:val="off"/>
          <w:color w:val="000000"/>
        </w:rPr>
        <w:t>其中：</w:t>
      </w:r>
      <w:r>
        <w:rPr>
          <w:rFonts w:ascii="仿宋" w:hAnsi="仿宋" w:cs="仿宋" w:eastAsia="仿宋"/>
          <w:sz w:val="30"/>
          <w:b w:val="off"/>
          <w:color w:val="000000"/>
        </w:rPr>
        <w:t>“科学技术普及(款)”1.00万元，包括：</w:t>
      </w:r>
      <w:r>
        <w:rPr>
          <w:rFonts w:ascii="仿宋" w:hAnsi="仿宋" w:cs="仿宋" w:eastAsia="仿宋"/>
          <w:sz w:val="30"/>
          <w:b w:val="off"/>
          <w:color w:val="000000"/>
        </w:rPr>
        <w:t>“其他科学技术普及支出(项)”1.00万元，</w:t>
      </w:r>
      <w:r>
        <w:rPr>
          <w:rFonts w:ascii="仿宋" w:hAnsi="仿宋" w:cs="仿宋" w:eastAsia="仿宋"/>
          <w:sz w:val="30"/>
          <w:b w:val="off"/>
          <w:color w:val="000000"/>
        </w:rPr>
        <w:t>主要用于</w:t>
      </w:r>
      <w:r>
        <w:rPr>
          <w:rFonts w:ascii="仿宋" w:hAnsi="仿宋" w:cs="仿宋" w:eastAsia="仿宋"/>
          <w:sz w:val="30"/>
          <w:b w:val="off"/>
          <w:color w:val="000000"/>
        </w:rPr>
        <w:t>压减一般公共预算支出，安排科学技术支出减少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5、“文化旅游体育与传媒支出(类)”52.63万元</w:t>
      </w:r>
      <w:r>
        <w:rPr>
          <w:rFonts w:ascii="仿宋" w:hAnsi="仿宋" w:cs="仿宋" w:eastAsia="仿宋"/>
          <w:sz w:val="30"/>
          <w:b w:val="off"/>
          <w:color w:val="000000"/>
        </w:rPr>
        <w:t>，与2025年预算相比减少85.77万元，主要原因是</w:t>
      </w:r>
      <w:r>
        <w:rPr>
          <w:rFonts w:ascii="仿宋" w:hAnsi="仿宋" w:cs="仿宋" w:eastAsia="仿宋"/>
          <w:sz w:val="30"/>
          <w:b w:val="off"/>
          <w:color w:val="000000"/>
        </w:rPr>
        <w:t>压减一般公共预算支出，安排创文项目、宣传项目支出减少</w:t>
      </w:r>
      <w:r>
        <w:rPr>
          <w:rFonts w:ascii="仿宋" w:hAnsi="仿宋" w:cs="仿宋" w:eastAsia="仿宋"/>
          <w:sz w:val="30"/>
          <w:b w:val="off"/>
          <w:color w:val="000000"/>
        </w:rPr>
        <w:t>其中：</w:t>
      </w:r>
      <w:r>
        <w:rPr>
          <w:rFonts w:ascii="仿宋" w:hAnsi="仿宋" w:cs="仿宋" w:eastAsia="仿宋"/>
          <w:sz w:val="30"/>
          <w:b w:val="off"/>
          <w:color w:val="000000"/>
        </w:rPr>
        <w:t>“文化和旅游(款)”50.88万元，包括：</w:t>
      </w:r>
      <w:r>
        <w:rPr>
          <w:rFonts w:ascii="仿宋" w:hAnsi="仿宋" w:cs="仿宋" w:eastAsia="仿宋"/>
          <w:sz w:val="30"/>
          <w:b w:val="off"/>
          <w:color w:val="000000"/>
        </w:rPr>
        <w:t>“群众文化(项)”20.62万元，</w:t>
      </w:r>
      <w:r>
        <w:rPr>
          <w:rFonts w:ascii="仿宋" w:hAnsi="仿宋" w:cs="仿宋" w:eastAsia="仿宋"/>
          <w:sz w:val="30"/>
          <w:b w:val="off"/>
          <w:color w:val="000000"/>
        </w:rPr>
        <w:t>主要用于</w:t>
      </w:r>
      <w:r>
        <w:rPr>
          <w:rFonts w:ascii="仿宋" w:hAnsi="仿宋" w:cs="仿宋" w:eastAsia="仿宋"/>
          <w:sz w:val="30"/>
          <w:b w:val="off"/>
          <w:color w:val="000000"/>
        </w:rPr>
        <w:t>基层公共文化服务体系建设补助资金项目等</w:t>
      </w:r>
      <w:r>
        <w:rPr>
          <w:rFonts w:ascii="仿宋" w:hAnsi="仿宋" w:cs="仿宋" w:eastAsia="仿宋"/>
          <w:sz w:val="30"/>
          <w:b w:val="off"/>
          <w:color w:val="000000"/>
        </w:rPr>
        <w:t>；</w:t>
      </w:r>
      <w:r>
        <w:rPr>
          <w:rFonts w:ascii="仿宋" w:hAnsi="仿宋" w:cs="仿宋" w:eastAsia="仿宋"/>
          <w:sz w:val="30"/>
          <w:b w:val="off"/>
          <w:color w:val="000000"/>
        </w:rPr>
        <w:t>“其他文化和旅游支出(项)”30.26万元，</w:t>
      </w:r>
      <w:r>
        <w:rPr>
          <w:rFonts w:ascii="仿宋" w:hAnsi="仿宋" w:cs="仿宋" w:eastAsia="仿宋"/>
          <w:sz w:val="30"/>
          <w:b w:val="off"/>
          <w:color w:val="000000"/>
        </w:rPr>
        <w:t>主要用于</w:t>
      </w:r>
      <w:r>
        <w:rPr>
          <w:rFonts w:ascii="仿宋" w:hAnsi="仿宋" w:cs="仿宋" w:eastAsia="仿宋"/>
          <w:sz w:val="30"/>
          <w:b w:val="off"/>
          <w:color w:val="000000"/>
        </w:rPr>
        <w:t>创文宣传项目、报刊订阅费项目支出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“新闻出版电影(款)”1.75万元，包括：</w:t>
      </w:r>
      <w:r>
        <w:rPr>
          <w:rFonts w:ascii="仿宋" w:hAnsi="仿宋" w:cs="仿宋" w:eastAsia="仿宋"/>
          <w:sz w:val="30"/>
          <w:b w:val="off"/>
          <w:color w:val="000000"/>
        </w:rPr>
        <w:t>“其他新闻出版电影支出(项)”1.75万元，</w:t>
      </w:r>
      <w:r>
        <w:rPr>
          <w:rFonts w:ascii="仿宋" w:hAnsi="仿宋" w:cs="仿宋" w:eastAsia="仿宋"/>
          <w:sz w:val="30"/>
          <w:b w:val="off"/>
          <w:color w:val="000000"/>
        </w:rPr>
        <w:t>主要用于</w:t>
      </w:r>
      <w:r>
        <w:rPr>
          <w:rFonts w:ascii="仿宋" w:hAnsi="仿宋" w:cs="仿宋" w:eastAsia="仿宋"/>
          <w:sz w:val="30"/>
          <w:b w:val="off"/>
          <w:color w:val="000000"/>
        </w:rPr>
        <w:t>老放映员补贴项目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6、“社会保障和就业支出(类)”1,430.76万元</w:t>
      </w:r>
      <w:r>
        <w:rPr>
          <w:rFonts w:ascii="仿宋" w:hAnsi="仿宋" w:cs="仿宋" w:eastAsia="仿宋"/>
          <w:sz w:val="30"/>
          <w:b w:val="off"/>
          <w:color w:val="000000"/>
        </w:rPr>
        <w:t>，与2025年预算相比减少529.01万元，主要原因是</w:t>
      </w:r>
      <w:r>
        <w:rPr>
          <w:rFonts w:ascii="仿宋" w:hAnsi="仿宋" w:cs="仿宋" w:eastAsia="仿宋"/>
          <w:sz w:val="30"/>
          <w:b w:val="off"/>
          <w:color w:val="000000"/>
        </w:rPr>
        <w:t>我部门压减一般公共预算支出，社会保障和就业支出降低</w:t>
      </w:r>
      <w:r>
        <w:rPr>
          <w:rFonts w:ascii="仿宋" w:hAnsi="仿宋" w:cs="仿宋" w:eastAsia="仿宋"/>
          <w:sz w:val="30"/>
          <w:b w:val="off"/>
          <w:color w:val="000000"/>
        </w:rPr>
        <w:t>其中：</w:t>
      </w:r>
      <w:r>
        <w:rPr>
          <w:rFonts w:ascii="仿宋" w:hAnsi="仿宋" w:cs="仿宋" w:eastAsia="仿宋"/>
          <w:sz w:val="30"/>
          <w:b w:val="off"/>
          <w:color w:val="000000"/>
        </w:rPr>
        <w:t>“人力资源和社会保障管理事务(款)”33.11万元，包括：</w:t>
      </w:r>
      <w:r>
        <w:rPr>
          <w:rFonts w:ascii="仿宋" w:hAnsi="仿宋" w:cs="仿宋" w:eastAsia="仿宋"/>
          <w:sz w:val="30"/>
          <w:b w:val="off"/>
          <w:color w:val="000000"/>
        </w:rPr>
        <w:t>“其他人力资源和社会保障管理事务支出(项)”33.11万元，</w:t>
      </w:r>
      <w:r>
        <w:rPr>
          <w:rFonts w:ascii="仿宋" w:hAnsi="仿宋" w:cs="仿宋" w:eastAsia="仿宋"/>
          <w:sz w:val="30"/>
          <w:b w:val="off"/>
          <w:color w:val="000000"/>
        </w:rPr>
        <w:t>主要用于</w:t>
      </w:r>
      <w:r>
        <w:rPr>
          <w:rFonts w:ascii="仿宋" w:hAnsi="仿宋" w:cs="仿宋" w:eastAsia="仿宋"/>
          <w:sz w:val="30"/>
          <w:b w:val="off"/>
          <w:color w:val="000000"/>
        </w:rPr>
        <w:t>各二级单位三支一扶经费等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“民政管理事务(款)”704.89万元，包括：</w:t>
      </w:r>
      <w:r>
        <w:rPr>
          <w:rFonts w:ascii="仿宋" w:hAnsi="仿宋" w:cs="仿宋" w:eastAsia="仿宋"/>
          <w:sz w:val="30"/>
          <w:b w:val="off"/>
          <w:color w:val="000000"/>
        </w:rPr>
        <w:t>“行政运行（民政管理事务）(项)”684.78万元，</w:t>
      </w:r>
      <w:r>
        <w:rPr>
          <w:rFonts w:ascii="仿宋" w:hAnsi="仿宋" w:cs="仿宋" w:eastAsia="仿宋"/>
          <w:sz w:val="30"/>
          <w:b w:val="off"/>
          <w:color w:val="000000"/>
        </w:rPr>
        <w:t>主要用于</w:t>
      </w:r>
      <w:r>
        <w:rPr>
          <w:rFonts w:ascii="仿宋" w:hAnsi="仿宋" w:cs="仿宋" w:eastAsia="仿宋"/>
          <w:sz w:val="30"/>
          <w:b w:val="off"/>
          <w:color w:val="000000"/>
        </w:rPr>
        <w:t>党群服务中心日常运行及党群项目支出</w:t>
      </w:r>
      <w:r>
        <w:rPr>
          <w:rFonts w:ascii="仿宋" w:hAnsi="仿宋" w:cs="仿宋" w:eastAsia="仿宋"/>
          <w:sz w:val="30"/>
          <w:b w:val="off"/>
          <w:color w:val="000000"/>
        </w:rPr>
        <w:t>；</w:t>
      </w:r>
      <w:r>
        <w:rPr>
          <w:rFonts w:ascii="仿宋" w:hAnsi="仿宋" w:cs="仿宋" w:eastAsia="仿宋"/>
          <w:sz w:val="30"/>
          <w:b w:val="off"/>
          <w:color w:val="000000"/>
        </w:rPr>
        <w:t>“社会组织管理(项)”20.11万元，</w:t>
      </w:r>
      <w:r>
        <w:rPr>
          <w:rFonts w:ascii="仿宋" w:hAnsi="仿宋" w:cs="仿宋" w:eastAsia="仿宋"/>
          <w:sz w:val="30"/>
          <w:b w:val="off"/>
          <w:color w:val="000000"/>
        </w:rPr>
        <w:t>主要用于</w:t>
      </w:r>
      <w:r>
        <w:rPr>
          <w:rFonts w:ascii="仿宋" w:hAnsi="仿宋" w:cs="仿宋" w:eastAsia="仿宋"/>
          <w:sz w:val="30"/>
          <w:b w:val="off"/>
          <w:color w:val="000000"/>
        </w:rPr>
        <w:t>党群服务中心日常运行</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“行政事业单位养老支出(款)”487.18万元，包括：</w:t>
      </w:r>
      <w:r>
        <w:rPr>
          <w:rFonts w:ascii="仿宋" w:hAnsi="仿宋" w:cs="仿宋" w:eastAsia="仿宋"/>
          <w:sz w:val="30"/>
          <w:b w:val="off"/>
          <w:color w:val="000000"/>
        </w:rPr>
        <w:t>“行政单位离退休(项)”8.89万元，</w:t>
      </w:r>
      <w:r>
        <w:rPr>
          <w:rFonts w:ascii="仿宋" w:hAnsi="仿宋" w:cs="仿宋" w:eastAsia="仿宋"/>
          <w:sz w:val="30"/>
          <w:b w:val="off"/>
          <w:color w:val="000000"/>
        </w:rPr>
        <w:t>主要用于</w:t>
      </w:r>
      <w:r>
        <w:rPr>
          <w:rFonts w:ascii="仿宋" w:hAnsi="仿宋" w:cs="仿宋" w:eastAsia="仿宋"/>
          <w:sz w:val="30"/>
          <w:b w:val="off"/>
          <w:color w:val="000000"/>
        </w:rPr>
        <w:t>部门退休人员支出</w:t>
      </w:r>
      <w:r>
        <w:rPr>
          <w:rFonts w:ascii="仿宋" w:hAnsi="仿宋" w:cs="仿宋" w:eastAsia="仿宋"/>
          <w:sz w:val="30"/>
          <w:b w:val="off"/>
          <w:color w:val="000000"/>
        </w:rPr>
        <w:t>；</w:t>
      </w:r>
      <w:r>
        <w:rPr>
          <w:rFonts w:ascii="仿宋" w:hAnsi="仿宋" w:cs="仿宋" w:eastAsia="仿宋"/>
          <w:sz w:val="30"/>
          <w:b w:val="off"/>
          <w:color w:val="000000"/>
        </w:rPr>
        <w:t>“事业单位离退休(项)”27.09万元，</w:t>
      </w:r>
      <w:r>
        <w:rPr>
          <w:rFonts w:ascii="仿宋" w:hAnsi="仿宋" w:cs="仿宋" w:eastAsia="仿宋"/>
          <w:sz w:val="30"/>
          <w:b w:val="off"/>
          <w:color w:val="000000"/>
        </w:rPr>
        <w:t>主要用于</w:t>
      </w:r>
      <w:r>
        <w:rPr>
          <w:rFonts w:ascii="仿宋" w:hAnsi="仿宋" w:cs="仿宋" w:eastAsia="仿宋"/>
          <w:sz w:val="30"/>
          <w:b w:val="off"/>
          <w:color w:val="000000"/>
        </w:rPr>
        <w:t>部门退休人员支出</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“机关事业单位基本养老保险缴费支出(项)”300.80万元，</w:t>
      </w:r>
      <w:r>
        <w:rPr>
          <w:rFonts w:ascii="仿宋" w:hAnsi="仿宋" w:cs="仿宋" w:eastAsia="仿宋"/>
          <w:sz w:val="30"/>
          <w:b w:val="off"/>
          <w:color w:val="000000"/>
        </w:rPr>
        <w:t>主要用于</w:t>
      </w:r>
      <w:r>
        <w:rPr>
          <w:rFonts w:ascii="仿宋" w:hAnsi="仿宋" w:cs="仿宋" w:eastAsia="仿宋"/>
          <w:sz w:val="30"/>
          <w:b w:val="off"/>
          <w:color w:val="000000"/>
        </w:rPr>
        <w:t>部门人员基本养老保险缴费支出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“机关事业单位职业年金缴费支出(项)”150.40万元，</w:t>
      </w:r>
      <w:r>
        <w:rPr>
          <w:rFonts w:ascii="仿宋" w:hAnsi="仿宋" w:cs="仿宋" w:eastAsia="仿宋"/>
          <w:sz w:val="30"/>
          <w:b w:val="off"/>
          <w:color w:val="000000"/>
        </w:rPr>
        <w:t>主要用于</w:t>
      </w:r>
      <w:r>
        <w:rPr>
          <w:rFonts w:ascii="仿宋" w:hAnsi="仿宋" w:cs="仿宋" w:eastAsia="仿宋"/>
          <w:sz w:val="30"/>
          <w:b w:val="off"/>
          <w:color w:val="000000"/>
        </w:rPr>
        <w:t>部门人员职业年金缴费支出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“就业补助(款)”133.43万元，包括：</w:t>
      </w:r>
      <w:r>
        <w:rPr>
          <w:rFonts w:ascii="仿宋" w:hAnsi="仿宋" w:cs="仿宋" w:eastAsia="仿宋"/>
          <w:sz w:val="30"/>
          <w:b w:val="off"/>
          <w:color w:val="000000"/>
        </w:rPr>
        <w:t>“就业创业服务补贴(项)”133.43万元，</w:t>
      </w:r>
      <w:r>
        <w:rPr>
          <w:rFonts w:ascii="仿宋" w:hAnsi="仿宋" w:cs="仿宋" w:eastAsia="仿宋"/>
          <w:sz w:val="30"/>
          <w:b w:val="off"/>
          <w:color w:val="000000"/>
        </w:rPr>
        <w:t>主要用于</w:t>
      </w:r>
      <w:r>
        <w:rPr>
          <w:rFonts w:ascii="仿宋" w:hAnsi="仿宋" w:cs="仿宋" w:eastAsia="仿宋"/>
          <w:sz w:val="30"/>
          <w:b w:val="off"/>
          <w:color w:val="000000"/>
        </w:rPr>
        <w:t>部门人员类支出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“残疾人事业(款)”21.07万元，包括：</w:t>
      </w:r>
      <w:r>
        <w:rPr>
          <w:rFonts w:ascii="仿宋" w:hAnsi="仿宋" w:cs="仿宋" w:eastAsia="仿宋"/>
          <w:sz w:val="30"/>
          <w:b w:val="off"/>
          <w:color w:val="000000"/>
        </w:rPr>
        <w:t>“其他残疾人事业支出(项)”21.07万元，</w:t>
      </w:r>
      <w:r>
        <w:rPr>
          <w:rFonts w:ascii="仿宋" w:hAnsi="仿宋" w:cs="仿宋" w:eastAsia="仿宋"/>
          <w:sz w:val="30"/>
          <w:b w:val="off"/>
          <w:color w:val="000000"/>
        </w:rPr>
        <w:t>主要用于</w:t>
      </w:r>
      <w:r>
        <w:rPr>
          <w:rFonts w:ascii="仿宋" w:hAnsi="仿宋" w:cs="仿宋" w:eastAsia="仿宋"/>
          <w:sz w:val="30"/>
          <w:b w:val="off"/>
          <w:color w:val="000000"/>
        </w:rPr>
        <w:t>部门人员类支出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“退役军人管理事务(款)”51.09万元，包括：</w:t>
      </w:r>
      <w:r>
        <w:rPr>
          <w:rFonts w:ascii="仿宋" w:hAnsi="仿宋" w:cs="仿宋" w:eastAsia="仿宋"/>
          <w:sz w:val="30"/>
          <w:b w:val="off"/>
          <w:color w:val="000000"/>
        </w:rPr>
        <w:t>“事业运行（退役军人管理事务）(项)”51.09万元，</w:t>
      </w:r>
      <w:r>
        <w:rPr>
          <w:rFonts w:ascii="仿宋" w:hAnsi="仿宋" w:cs="仿宋" w:eastAsia="仿宋"/>
          <w:sz w:val="30"/>
          <w:b w:val="off"/>
          <w:color w:val="000000"/>
        </w:rPr>
        <w:t>主要用于</w:t>
      </w:r>
      <w:r>
        <w:rPr>
          <w:rFonts w:ascii="仿宋" w:hAnsi="仿宋" w:cs="仿宋" w:eastAsia="仿宋"/>
          <w:sz w:val="30"/>
          <w:b w:val="off"/>
          <w:color w:val="000000"/>
        </w:rPr>
        <w:t>部门退役军人服务站运行支出及人员类支出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7、“卫生健康支出(类)”1,094.50万元</w:t>
      </w:r>
      <w:r>
        <w:rPr>
          <w:rFonts w:ascii="仿宋" w:hAnsi="仿宋" w:cs="仿宋" w:eastAsia="仿宋"/>
          <w:sz w:val="30"/>
          <w:b w:val="off"/>
          <w:color w:val="000000"/>
        </w:rPr>
        <w:t>，与2025年预算相比减少1,597.14万元，主要原因是</w:t>
      </w:r>
      <w:r>
        <w:rPr>
          <w:rFonts w:ascii="仿宋" w:hAnsi="仿宋" w:cs="仿宋" w:eastAsia="仿宋"/>
          <w:sz w:val="30"/>
          <w:b w:val="off"/>
          <w:color w:val="000000"/>
        </w:rPr>
        <w:t>部门人员类支出及部分项目支出基层公共卫生项目减少</w:t>
      </w:r>
      <w:r>
        <w:rPr>
          <w:rFonts w:ascii="仿宋" w:hAnsi="仿宋" w:cs="仿宋" w:eastAsia="仿宋"/>
          <w:sz w:val="30"/>
          <w:b w:val="off"/>
          <w:color w:val="000000"/>
        </w:rPr>
        <w:t>其中：</w:t>
      </w:r>
      <w:r>
        <w:rPr>
          <w:rFonts w:ascii="仿宋" w:hAnsi="仿宋" w:cs="仿宋" w:eastAsia="仿宋"/>
          <w:sz w:val="30"/>
          <w:b w:val="off"/>
          <w:color w:val="000000"/>
        </w:rPr>
        <w:t>“基层医疗卫生机构(款)”848.97万元，包括：</w:t>
      </w:r>
      <w:r>
        <w:rPr>
          <w:rFonts w:ascii="仿宋" w:hAnsi="仿宋" w:cs="仿宋" w:eastAsia="仿宋"/>
          <w:sz w:val="30"/>
          <w:b w:val="off"/>
          <w:color w:val="000000"/>
        </w:rPr>
        <w:t>“城市社区卫生机构(项)”1.02万元，</w:t>
      </w:r>
      <w:r>
        <w:rPr>
          <w:rFonts w:ascii="仿宋" w:hAnsi="仿宋" w:cs="仿宋" w:eastAsia="仿宋"/>
          <w:sz w:val="30"/>
          <w:b w:val="off"/>
          <w:color w:val="000000"/>
        </w:rPr>
        <w:t>主要用于</w:t>
      </w:r>
      <w:r>
        <w:rPr>
          <w:rFonts w:ascii="仿宋" w:hAnsi="仿宋" w:cs="仿宋" w:eastAsia="仿宋"/>
          <w:sz w:val="30"/>
          <w:b w:val="off"/>
          <w:color w:val="000000"/>
        </w:rPr>
        <w:t>卫生医疗机构工资补助结算资金</w:t>
      </w:r>
      <w:r>
        <w:rPr>
          <w:rFonts w:ascii="仿宋" w:hAnsi="仿宋" w:cs="仿宋" w:eastAsia="仿宋"/>
          <w:sz w:val="30"/>
          <w:b w:val="off"/>
          <w:color w:val="000000"/>
        </w:rPr>
        <w:t>；</w:t>
      </w:r>
      <w:r>
        <w:rPr>
          <w:rFonts w:ascii="仿宋" w:hAnsi="仿宋" w:cs="仿宋" w:eastAsia="仿宋"/>
          <w:sz w:val="30"/>
          <w:b w:val="off"/>
          <w:color w:val="000000"/>
        </w:rPr>
        <w:t>“乡镇卫生院(项)”775.41万元，</w:t>
      </w:r>
      <w:r>
        <w:rPr>
          <w:rFonts w:ascii="仿宋" w:hAnsi="仿宋" w:cs="仿宋" w:eastAsia="仿宋"/>
          <w:sz w:val="30"/>
          <w:b w:val="off"/>
          <w:color w:val="000000"/>
        </w:rPr>
        <w:t>主要用于</w:t>
      </w:r>
      <w:r>
        <w:rPr>
          <w:rFonts w:ascii="仿宋" w:hAnsi="仿宋" w:cs="仿宋" w:eastAsia="仿宋"/>
          <w:sz w:val="30"/>
          <w:b w:val="off"/>
          <w:color w:val="000000"/>
        </w:rPr>
        <w:t>王稳庄镇社区卫生服务中心日常运行支出及项目支出</w:t>
      </w:r>
      <w:r>
        <w:rPr>
          <w:rFonts w:ascii="仿宋" w:hAnsi="仿宋" w:cs="仿宋" w:eastAsia="仿宋"/>
          <w:sz w:val="30"/>
          <w:b w:val="off"/>
          <w:color w:val="000000"/>
        </w:rPr>
        <w:t>；</w:t>
      </w:r>
      <w:r>
        <w:rPr>
          <w:rFonts w:ascii="仿宋" w:hAnsi="仿宋" w:cs="仿宋" w:eastAsia="仿宋"/>
          <w:sz w:val="30"/>
          <w:b w:val="off"/>
          <w:color w:val="000000"/>
        </w:rPr>
        <w:t>“其他基层医疗卫生机构支出(项)”72.54万元，</w:t>
      </w:r>
      <w:r>
        <w:rPr>
          <w:rFonts w:ascii="仿宋" w:hAnsi="仿宋" w:cs="仿宋" w:eastAsia="仿宋"/>
          <w:sz w:val="30"/>
          <w:b w:val="off"/>
          <w:color w:val="000000"/>
        </w:rPr>
        <w:t>主要用于</w:t>
      </w:r>
      <w:r>
        <w:rPr>
          <w:rFonts w:ascii="仿宋" w:hAnsi="仿宋" w:cs="仿宋" w:eastAsia="仿宋"/>
          <w:sz w:val="30"/>
          <w:b w:val="off"/>
          <w:color w:val="000000"/>
        </w:rPr>
        <w:t>老年乡医补助项目支出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“公共卫生(款)”19.64万元，包括：</w:t>
      </w:r>
      <w:r>
        <w:rPr>
          <w:rFonts w:ascii="仿宋" w:hAnsi="仿宋" w:cs="仿宋" w:eastAsia="仿宋"/>
          <w:sz w:val="30"/>
          <w:b w:val="off"/>
          <w:color w:val="000000"/>
        </w:rPr>
        <w:t>“基本公共卫生服务(项)”11.59万元，</w:t>
      </w:r>
      <w:r>
        <w:rPr>
          <w:rFonts w:ascii="仿宋" w:hAnsi="仿宋" w:cs="仿宋" w:eastAsia="仿宋"/>
          <w:sz w:val="30"/>
          <w:b w:val="off"/>
          <w:color w:val="000000"/>
        </w:rPr>
        <w:t>主要用于</w:t>
      </w:r>
      <w:r>
        <w:rPr>
          <w:rFonts w:ascii="仿宋" w:hAnsi="仿宋" w:cs="仿宋" w:eastAsia="仿宋"/>
          <w:sz w:val="30"/>
          <w:b w:val="off"/>
          <w:color w:val="000000"/>
        </w:rPr>
        <w:t>基层公共卫生项目支出</w:t>
      </w:r>
      <w:r>
        <w:rPr>
          <w:rFonts w:ascii="仿宋" w:hAnsi="仿宋" w:cs="仿宋" w:eastAsia="仿宋"/>
          <w:sz w:val="30"/>
          <w:b w:val="off"/>
          <w:color w:val="000000"/>
        </w:rPr>
        <w:t>；</w:t>
      </w:r>
      <w:r>
        <w:rPr>
          <w:rFonts w:ascii="仿宋" w:hAnsi="仿宋" w:cs="仿宋" w:eastAsia="仿宋"/>
          <w:sz w:val="30"/>
          <w:b w:val="off"/>
          <w:color w:val="000000"/>
        </w:rPr>
        <w:t>“重大公共卫生服务(项)”7.90万元，</w:t>
      </w:r>
      <w:r>
        <w:rPr>
          <w:rFonts w:ascii="仿宋" w:hAnsi="仿宋" w:cs="仿宋" w:eastAsia="仿宋"/>
          <w:sz w:val="30"/>
          <w:b w:val="off"/>
          <w:color w:val="000000"/>
        </w:rPr>
        <w:t>主要用于</w:t>
      </w:r>
      <w:r>
        <w:rPr>
          <w:rFonts w:ascii="仿宋" w:hAnsi="仿宋" w:cs="仿宋" w:eastAsia="仿宋"/>
          <w:sz w:val="30"/>
          <w:b w:val="off"/>
          <w:color w:val="000000"/>
        </w:rPr>
        <w:t>重大传染病防控经费</w:t>
      </w:r>
      <w:r>
        <w:rPr>
          <w:rFonts w:ascii="仿宋" w:hAnsi="仿宋" w:cs="仿宋" w:eastAsia="仿宋"/>
          <w:sz w:val="30"/>
          <w:b w:val="off"/>
          <w:color w:val="000000"/>
        </w:rPr>
        <w:t>；</w:t>
      </w:r>
      <w:r>
        <w:rPr>
          <w:rFonts w:ascii="仿宋" w:hAnsi="仿宋" w:cs="仿宋" w:eastAsia="仿宋"/>
          <w:sz w:val="30"/>
          <w:b w:val="off"/>
          <w:color w:val="000000"/>
        </w:rPr>
        <w:t>“其他公共卫生支出(项)”0.15万元，</w:t>
      </w:r>
      <w:r>
        <w:rPr>
          <w:rFonts w:ascii="仿宋" w:hAnsi="仿宋" w:cs="仿宋" w:eastAsia="仿宋"/>
          <w:sz w:val="30"/>
          <w:b w:val="off"/>
          <w:color w:val="000000"/>
        </w:rPr>
        <w:t>主要用于</w:t>
      </w:r>
      <w:r>
        <w:rPr>
          <w:rFonts w:ascii="仿宋" w:hAnsi="仿宋" w:cs="仿宋" w:eastAsia="仿宋"/>
          <w:sz w:val="30"/>
          <w:b w:val="off"/>
          <w:color w:val="000000"/>
        </w:rPr>
        <w:t>其他公共卫生支出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“行政事业单位医疗(款)”225.90万元，包括：</w:t>
      </w:r>
      <w:r>
        <w:rPr>
          <w:rFonts w:ascii="仿宋" w:hAnsi="仿宋" w:cs="仿宋" w:eastAsia="仿宋"/>
          <w:sz w:val="30"/>
          <w:b w:val="off"/>
          <w:color w:val="000000"/>
        </w:rPr>
        <w:t>“行政单位医疗(项)”78.31万元，</w:t>
      </w:r>
      <w:r>
        <w:rPr>
          <w:rFonts w:ascii="仿宋" w:hAnsi="仿宋" w:cs="仿宋" w:eastAsia="仿宋"/>
          <w:sz w:val="30"/>
          <w:b w:val="off"/>
          <w:color w:val="000000"/>
        </w:rPr>
        <w:t>主要用于</w:t>
      </w:r>
      <w:r>
        <w:rPr>
          <w:rFonts w:ascii="仿宋" w:hAnsi="仿宋" w:cs="仿宋" w:eastAsia="仿宋"/>
          <w:sz w:val="30"/>
          <w:b w:val="off"/>
          <w:color w:val="000000"/>
        </w:rPr>
        <w:t>行政单位及参公单位医疗保障支出</w:t>
      </w:r>
      <w:r>
        <w:rPr>
          <w:rFonts w:ascii="仿宋" w:hAnsi="仿宋" w:cs="仿宋" w:eastAsia="仿宋"/>
          <w:sz w:val="30"/>
          <w:b w:val="off"/>
          <w:color w:val="000000"/>
        </w:rPr>
        <w:t>；</w:t>
      </w:r>
      <w:r>
        <w:rPr>
          <w:rFonts w:ascii="仿宋" w:hAnsi="仿宋" w:cs="仿宋" w:eastAsia="仿宋"/>
          <w:sz w:val="30"/>
          <w:b w:val="off"/>
          <w:color w:val="000000"/>
        </w:rPr>
        <w:t>“事业单位医疗(项)”119.10万元，</w:t>
      </w:r>
      <w:r>
        <w:rPr>
          <w:rFonts w:ascii="仿宋" w:hAnsi="仿宋" w:cs="仿宋" w:eastAsia="仿宋"/>
          <w:sz w:val="30"/>
          <w:b w:val="off"/>
          <w:color w:val="000000"/>
        </w:rPr>
        <w:t>主要用于</w:t>
      </w:r>
      <w:r>
        <w:rPr>
          <w:rFonts w:ascii="仿宋" w:hAnsi="仿宋" w:cs="仿宋" w:eastAsia="仿宋"/>
          <w:sz w:val="30"/>
          <w:b w:val="off"/>
          <w:color w:val="000000"/>
        </w:rPr>
        <w:t>各事业单位医疗保障支出</w:t>
      </w:r>
      <w:r>
        <w:rPr>
          <w:rFonts w:ascii="仿宋" w:hAnsi="仿宋" w:cs="仿宋" w:eastAsia="仿宋"/>
          <w:sz w:val="30"/>
          <w:b w:val="off"/>
          <w:color w:val="000000"/>
        </w:rPr>
        <w:t>；</w:t>
      </w:r>
      <w:r>
        <w:rPr>
          <w:rFonts w:ascii="仿宋" w:hAnsi="仿宋" w:cs="仿宋" w:eastAsia="仿宋"/>
          <w:sz w:val="30"/>
          <w:b w:val="off"/>
          <w:color w:val="000000"/>
        </w:rPr>
        <w:t>“公务员医疗补助(项)”14.92万元，</w:t>
      </w:r>
      <w:r>
        <w:rPr>
          <w:rFonts w:ascii="仿宋" w:hAnsi="仿宋" w:cs="仿宋" w:eastAsia="仿宋"/>
          <w:sz w:val="30"/>
          <w:b w:val="off"/>
          <w:color w:val="000000"/>
        </w:rPr>
        <w:t>主要用于</w:t>
      </w:r>
      <w:r>
        <w:rPr>
          <w:rFonts w:ascii="仿宋" w:hAnsi="仿宋" w:cs="仿宋" w:eastAsia="仿宋"/>
          <w:sz w:val="30"/>
          <w:b w:val="off"/>
          <w:color w:val="000000"/>
        </w:rPr>
        <w:t>行政单位及参公单位医疗保障支出</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“其他行政事业单位医疗支出(项)”13.58万元，</w:t>
      </w:r>
      <w:r>
        <w:rPr>
          <w:rFonts w:ascii="仿宋" w:hAnsi="仿宋" w:cs="仿宋" w:eastAsia="仿宋"/>
          <w:sz w:val="30"/>
          <w:b w:val="off"/>
          <w:color w:val="000000"/>
        </w:rPr>
        <w:t>主要用于</w:t>
      </w:r>
      <w:r>
        <w:rPr>
          <w:rFonts w:ascii="仿宋" w:hAnsi="仿宋" w:cs="仿宋" w:eastAsia="仿宋"/>
          <w:sz w:val="30"/>
          <w:b w:val="off"/>
          <w:color w:val="000000"/>
        </w:rPr>
        <w:t>各事业单位医疗保障支出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8、“节能环保支出(类)”1,663.87万元</w:t>
      </w:r>
      <w:r>
        <w:rPr>
          <w:rFonts w:ascii="仿宋" w:hAnsi="仿宋" w:cs="仿宋" w:eastAsia="仿宋"/>
          <w:sz w:val="30"/>
          <w:b w:val="off"/>
          <w:color w:val="000000"/>
        </w:rPr>
        <w:t>，与2025年预算相比减少684.85万元，主要原因是</w:t>
      </w:r>
      <w:r>
        <w:rPr>
          <w:rFonts w:ascii="仿宋" w:hAnsi="仿宋" w:cs="仿宋" w:eastAsia="仿宋"/>
          <w:sz w:val="30"/>
          <w:b w:val="off"/>
          <w:color w:val="000000"/>
        </w:rPr>
        <w:t>结转项目2020年第三批水污染防治专项资金于2024年已支付部分</w:t>
      </w:r>
      <w:r>
        <w:rPr>
          <w:rFonts w:ascii="仿宋" w:hAnsi="仿宋" w:cs="仿宋" w:eastAsia="仿宋"/>
          <w:sz w:val="30"/>
          <w:b w:val="off"/>
          <w:color w:val="000000"/>
        </w:rPr>
        <w:t>其中：</w:t>
      </w:r>
      <w:r>
        <w:rPr>
          <w:rFonts w:ascii="仿宋" w:hAnsi="仿宋" w:cs="仿宋" w:eastAsia="仿宋"/>
          <w:sz w:val="30"/>
          <w:b w:val="off"/>
          <w:color w:val="000000"/>
        </w:rPr>
        <w:t>“污染防治(款)”1,650.87万元，包括：</w:t>
      </w:r>
      <w:r>
        <w:rPr>
          <w:rFonts w:ascii="仿宋" w:hAnsi="仿宋" w:cs="仿宋" w:eastAsia="仿宋"/>
          <w:sz w:val="30"/>
          <w:b w:val="off"/>
          <w:color w:val="000000"/>
        </w:rPr>
        <w:t>“大气(项)”50.00万元，</w:t>
      </w:r>
      <w:r>
        <w:rPr>
          <w:rFonts w:ascii="仿宋" w:hAnsi="仿宋" w:cs="仿宋" w:eastAsia="仿宋"/>
          <w:sz w:val="30"/>
          <w:b w:val="off"/>
          <w:color w:val="000000"/>
        </w:rPr>
        <w:t>主要用于</w:t>
      </w:r>
      <w:r>
        <w:rPr>
          <w:rFonts w:ascii="仿宋" w:hAnsi="仿宋" w:cs="仿宋" w:eastAsia="仿宋"/>
          <w:sz w:val="30"/>
          <w:b w:val="off"/>
          <w:color w:val="000000"/>
        </w:rPr>
        <w:t>王稳庄镇网格化专项管理资金、采暖期居民清洁取暖运行补贴项目</w:t>
      </w:r>
      <w:r>
        <w:rPr>
          <w:rFonts w:ascii="仿宋" w:hAnsi="仿宋" w:cs="仿宋" w:eastAsia="仿宋"/>
          <w:sz w:val="30"/>
          <w:b w:val="off"/>
          <w:color w:val="000000"/>
        </w:rPr>
        <w:t>；</w:t>
      </w:r>
      <w:r>
        <w:rPr>
          <w:rFonts w:ascii="仿宋" w:hAnsi="仿宋" w:cs="仿宋" w:eastAsia="仿宋"/>
          <w:sz w:val="30"/>
          <w:b w:val="off"/>
          <w:color w:val="000000"/>
        </w:rPr>
        <w:t>“水体(项)”1,000.00万元，</w:t>
      </w:r>
      <w:r>
        <w:rPr>
          <w:rFonts w:ascii="仿宋" w:hAnsi="仿宋" w:cs="仿宋" w:eastAsia="仿宋"/>
          <w:sz w:val="30"/>
          <w:b w:val="off"/>
          <w:color w:val="000000"/>
        </w:rPr>
        <w:t>主要用于</w:t>
      </w:r>
      <w:r>
        <w:rPr>
          <w:rFonts w:ascii="仿宋" w:hAnsi="仿宋" w:cs="仿宋" w:eastAsia="仿宋"/>
          <w:sz w:val="30"/>
          <w:b w:val="off"/>
          <w:color w:val="000000"/>
        </w:rPr>
        <w:t>2020年第三批水污染防治专项资金</w:t>
      </w:r>
      <w:r>
        <w:rPr>
          <w:rFonts w:ascii="仿宋" w:hAnsi="仿宋" w:cs="仿宋" w:eastAsia="仿宋"/>
          <w:sz w:val="30"/>
          <w:b w:val="off"/>
          <w:color w:val="000000"/>
        </w:rPr>
        <w:t>；</w:t>
      </w:r>
      <w:r>
        <w:rPr>
          <w:rFonts w:ascii="仿宋" w:hAnsi="仿宋" w:cs="仿宋" w:eastAsia="仿宋"/>
          <w:sz w:val="30"/>
          <w:b w:val="off"/>
          <w:color w:val="000000"/>
        </w:rPr>
        <w:t>“固体废弃物与化学品(项)”288.74万元，</w:t>
      </w:r>
      <w:r>
        <w:rPr>
          <w:rFonts w:ascii="仿宋" w:hAnsi="仿宋" w:cs="仿宋" w:eastAsia="仿宋"/>
          <w:sz w:val="30"/>
          <w:b w:val="off"/>
          <w:color w:val="000000"/>
        </w:rPr>
        <w:t>主要用于</w:t>
      </w:r>
      <w:r>
        <w:rPr>
          <w:rFonts w:ascii="仿宋" w:hAnsi="仿宋" w:cs="仿宋" w:eastAsia="仿宋"/>
          <w:sz w:val="30"/>
          <w:b w:val="off"/>
          <w:color w:val="000000"/>
        </w:rPr>
        <w:t>建新村地上物堆存及地下掩埋项目</w:t>
      </w:r>
      <w:r>
        <w:rPr>
          <w:rFonts w:ascii="仿宋" w:hAnsi="仿宋" w:cs="仿宋" w:eastAsia="仿宋"/>
          <w:sz w:val="30"/>
          <w:b w:val="off"/>
          <w:color w:val="000000"/>
        </w:rPr>
        <w:t>；</w:t>
      </w:r>
      <w:r>
        <w:rPr>
          <w:rFonts w:ascii="仿宋" w:hAnsi="仿宋" w:cs="仿宋" w:eastAsia="仿宋"/>
          <w:sz w:val="30"/>
          <w:b w:val="off"/>
          <w:color w:val="000000"/>
        </w:rPr>
        <w:t>“其他污染防治支出(项)”312.13万元，</w:t>
      </w:r>
      <w:r>
        <w:rPr>
          <w:rFonts w:ascii="仿宋" w:hAnsi="仿宋" w:cs="仿宋" w:eastAsia="仿宋"/>
          <w:sz w:val="30"/>
          <w:b w:val="off"/>
          <w:color w:val="000000"/>
        </w:rPr>
        <w:t>主要用于</w:t>
      </w:r>
      <w:r>
        <w:rPr>
          <w:rFonts w:ascii="仿宋" w:hAnsi="仿宋" w:cs="仿宋" w:eastAsia="仿宋"/>
          <w:sz w:val="30"/>
          <w:b w:val="off"/>
          <w:color w:val="000000"/>
        </w:rPr>
        <w:t>王稳庄镇环保技术服务项目、采暖期居民清洁取暖运行补贴项目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“其他节能环保支出(款)”13.00万元，包括：</w:t>
      </w:r>
      <w:r>
        <w:rPr>
          <w:rFonts w:ascii="仿宋" w:hAnsi="仿宋" w:cs="仿宋" w:eastAsia="仿宋"/>
          <w:sz w:val="30"/>
          <w:b w:val="off"/>
          <w:color w:val="000000"/>
        </w:rPr>
        <w:t>“其他节能环保支出(项)”13.00万元，</w:t>
      </w:r>
      <w:r>
        <w:rPr>
          <w:rFonts w:ascii="仿宋" w:hAnsi="仿宋" w:cs="仿宋" w:eastAsia="仿宋"/>
          <w:sz w:val="30"/>
          <w:b w:val="off"/>
          <w:color w:val="000000"/>
        </w:rPr>
        <w:t>主要用于</w:t>
      </w:r>
      <w:r>
        <w:rPr>
          <w:rFonts w:ascii="仿宋" w:hAnsi="仿宋" w:cs="仿宋" w:eastAsia="仿宋"/>
          <w:sz w:val="30"/>
          <w:b w:val="off"/>
          <w:color w:val="000000"/>
        </w:rPr>
        <w:t>绿水青山就是金山银山实践创新基地符合评估技术服务项目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9、“城乡社区支出(类)”593.21万元</w:t>
      </w:r>
      <w:r>
        <w:rPr>
          <w:rFonts w:ascii="仿宋" w:hAnsi="仿宋" w:cs="仿宋" w:eastAsia="仿宋"/>
          <w:sz w:val="30"/>
          <w:b w:val="off"/>
          <w:color w:val="000000"/>
        </w:rPr>
        <w:t>，与2025年预算相比减少366.14万元，主要原因是</w:t>
      </w:r>
      <w:r>
        <w:rPr>
          <w:rFonts w:ascii="仿宋" w:hAnsi="仿宋" w:cs="仿宋" w:eastAsia="仿宋"/>
          <w:sz w:val="30"/>
          <w:b w:val="off"/>
          <w:color w:val="000000"/>
        </w:rPr>
        <w:t>压减城乡社区支出项目</w:t>
      </w:r>
      <w:r>
        <w:rPr>
          <w:rFonts w:ascii="仿宋" w:hAnsi="仿宋" w:cs="仿宋" w:eastAsia="仿宋"/>
          <w:sz w:val="30"/>
          <w:b w:val="off"/>
          <w:color w:val="000000"/>
        </w:rPr>
        <w:t>其中：</w:t>
      </w:r>
      <w:r>
        <w:rPr>
          <w:rFonts w:ascii="仿宋" w:hAnsi="仿宋" w:cs="仿宋" w:eastAsia="仿宋"/>
          <w:sz w:val="30"/>
          <w:b w:val="off"/>
          <w:color w:val="000000"/>
        </w:rPr>
        <w:t>“城乡社区管理事务(款)”334.24万元，包括：</w:t>
      </w:r>
      <w:r>
        <w:rPr>
          <w:rFonts w:ascii="仿宋" w:hAnsi="仿宋" w:cs="仿宋" w:eastAsia="仿宋"/>
          <w:sz w:val="30"/>
          <w:b w:val="off"/>
          <w:color w:val="000000"/>
        </w:rPr>
        <w:t>“城管执法(项)”334.24万元，</w:t>
      </w:r>
      <w:r>
        <w:rPr>
          <w:rFonts w:ascii="仿宋" w:hAnsi="仿宋" w:cs="仿宋" w:eastAsia="仿宋"/>
          <w:sz w:val="30"/>
          <w:b w:val="off"/>
          <w:color w:val="000000"/>
        </w:rPr>
        <w:t>主要用于</w:t>
      </w:r>
      <w:r>
        <w:rPr>
          <w:rFonts w:ascii="仿宋" w:hAnsi="仿宋" w:cs="仿宋" w:eastAsia="仿宋"/>
          <w:sz w:val="30"/>
          <w:b w:val="off"/>
          <w:color w:val="000000"/>
        </w:rPr>
        <w:t>人员支出及运行经费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“城乡社区公共设施(款)”258.97万元，包括：</w:t>
      </w:r>
      <w:r>
        <w:rPr>
          <w:rFonts w:ascii="仿宋" w:hAnsi="仿宋" w:cs="仿宋" w:eastAsia="仿宋"/>
          <w:sz w:val="30"/>
          <w:b w:val="off"/>
          <w:color w:val="000000"/>
        </w:rPr>
        <w:t>“其他城乡社区公共设施支出(项)”258.97万元，</w:t>
      </w:r>
      <w:r>
        <w:rPr>
          <w:rFonts w:ascii="仿宋" w:hAnsi="仿宋" w:cs="仿宋" w:eastAsia="仿宋"/>
          <w:sz w:val="30"/>
          <w:b w:val="off"/>
          <w:color w:val="000000"/>
        </w:rPr>
        <w:t>主要用于</w:t>
      </w:r>
      <w:r>
        <w:rPr>
          <w:rFonts w:ascii="仿宋" w:hAnsi="仿宋" w:cs="仿宋" w:eastAsia="仿宋"/>
          <w:sz w:val="30"/>
          <w:b w:val="off"/>
          <w:color w:val="000000"/>
        </w:rPr>
        <w:t>农村房屋安全隐患整治专项补贴等项目支出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10、“农林水支出(类)”6,632.69万元</w:t>
      </w:r>
      <w:r>
        <w:rPr>
          <w:rFonts w:ascii="仿宋" w:hAnsi="仿宋" w:cs="仿宋" w:eastAsia="仿宋"/>
          <w:sz w:val="30"/>
          <w:b w:val="off"/>
          <w:color w:val="000000"/>
        </w:rPr>
        <w:t>，与2025年预算相比减少3,771.48万元，主要原因是</w:t>
      </w:r>
      <w:r>
        <w:rPr>
          <w:rFonts w:ascii="仿宋" w:hAnsi="仿宋" w:cs="仿宋" w:eastAsia="仿宋"/>
          <w:sz w:val="30"/>
          <w:b w:val="off"/>
          <w:color w:val="000000"/>
        </w:rPr>
        <w:t>我部门压减一般公共预算支出，农业类项目较上年减少</w:t>
      </w:r>
      <w:r>
        <w:rPr>
          <w:rFonts w:ascii="仿宋" w:hAnsi="仿宋" w:cs="仿宋" w:eastAsia="仿宋"/>
          <w:sz w:val="30"/>
          <w:b w:val="off"/>
          <w:color w:val="000000"/>
        </w:rPr>
        <w:t>其中：</w:t>
      </w:r>
      <w:r>
        <w:rPr>
          <w:rFonts w:ascii="仿宋" w:hAnsi="仿宋" w:cs="仿宋" w:eastAsia="仿宋"/>
          <w:sz w:val="30"/>
          <w:b w:val="off"/>
          <w:color w:val="000000"/>
        </w:rPr>
        <w:t>“农业农村(款)”4,275.27万元，包括：</w:t>
      </w:r>
      <w:r>
        <w:rPr>
          <w:rFonts w:ascii="仿宋" w:hAnsi="仿宋" w:cs="仿宋" w:eastAsia="仿宋"/>
          <w:sz w:val="30"/>
          <w:b w:val="off"/>
          <w:color w:val="000000"/>
        </w:rPr>
        <w:t>“事业运行（农业农村）(项)”3,447.44万元，</w:t>
      </w:r>
      <w:r>
        <w:rPr>
          <w:rFonts w:ascii="仿宋" w:hAnsi="仿宋" w:cs="仿宋" w:eastAsia="仿宋"/>
          <w:sz w:val="30"/>
          <w:b w:val="off"/>
          <w:color w:val="000000"/>
        </w:rPr>
        <w:t>主要用于</w:t>
      </w:r>
      <w:r>
        <w:rPr>
          <w:rFonts w:ascii="仿宋" w:hAnsi="仿宋" w:cs="仿宋" w:eastAsia="仿宋"/>
          <w:sz w:val="30"/>
          <w:b w:val="off"/>
          <w:color w:val="000000"/>
        </w:rPr>
        <w:t>王稳庄镇农业农村发展服务中心公用经费类支出</w:t>
      </w:r>
      <w:r>
        <w:rPr>
          <w:rFonts w:ascii="仿宋" w:hAnsi="仿宋" w:cs="仿宋" w:eastAsia="仿宋"/>
          <w:sz w:val="30"/>
          <w:b w:val="off"/>
          <w:color w:val="000000"/>
        </w:rPr>
        <w:t>；</w:t>
      </w:r>
      <w:r>
        <w:rPr>
          <w:rFonts w:ascii="仿宋" w:hAnsi="仿宋" w:cs="仿宋" w:eastAsia="仿宋"/>
          <w:sz w:val="30"/>
          <w:b w:val="off"/>
          <w:color w:val="000000"/>
        </w:rPr>
        <w:t>“农业生态资源保护(项)”826.43万元，</w:t>
      </w:r>
      <w:r>
        <w:rPr>
          <w:rFonts w:ascii="仿宋" w:hAnsi="仿宋" w:cs="仿宋" w:eastAsia="仿宋"/>
          <w:sz w:val="30"/>
          <w:b w:val="off"/>
          <w:color w:val="000000"/>
        </w:rPr>
        <w:t>主要用于</w:t>
      </w:r>
      <w:r>
        <w:rPr>
          <w:rFonts w:ascii="仿宋" w:hAnsi="仿宋" w:cs="仿宋" w:eastAsia="仿宋"/>
          <w:sz w:val="30"/>
          <w:b w:val="off"/>
          <w:color w:val="000000"/>
        </w:rPr>
        <w:t>西青区退渔还湿工程池塘土地流转项目支出</w:t>
      </w:r>
      <w:r>
        <w:rPr>
          <w:rFonts w:ascii="仿宋" w:hAnsi="仿宋" w:cs="仿宋" w:eastAsia="仿宋"/>
          <w:sz w:val="30"/>
          <w:b w:val="off"/>
          <w:color w:val="000000"/>
        </w:rPr>
        <w:t>；</w:t>
      </w:r>
      <w:r>
        <w:rPr>
          <w:rFonts w:ascii="仿宋" w:hAnsi="仿宋" w:cs="仿宋" w:eastAsia="仿宋"/>
          <w:sz w:val="30"/>
          <w:b w:val="off"/>
          <w:color w:val="000000"/>
        </w:rPr>
        <w:t>“对高校毕业生到基层任职补助(项)”1.40万元，</w:t>
      </w:r>
      <w:r>
        <w:rPr>
          <w:rFonts w:ascii="仿宋" w:hAnsi="仿宋" w:cs="仿宋" w:eastAsia="仿宋"/>
          <w:sz w:val="30"/>
          <w:b w:val="off"/>
          <w:color w:val="000000"/>
        </w:rPr>
        <w:t>主要用于</w:t>
      </w:r>
      <w:r>
        <w:rPr>
          <w:rFonts w:ascii="仿宋" w:hAnsi="仿宋" w:cs="仿宋" w:eastAsia="仿宋"/>
          <w:sz w:val="30"/>
          <w:b w:val="off"/>
          <w:color w:val="000000"/>
        </w:rPr>
        <w:t>三支一扶工资</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“林业和草原(款)”782.52万元，包括：</w:t>
      </w:r>
      <w:r>
        <w:rPr>
          <w:rFonts w:ascii="仿宋" w:hAnsi="仿宋" w:cs="仿宋" w:eastAsia="仿宋"/>
          <w:sz w:val="30"/>
          <w:b w:val="off"/>
          <w:color w:val="000000"/>
        </w:rPr>
        <w:t>“森林资源管理(项)”782.52万元，</w:t>
      </w:r>
      <w:r>
        <w:rPr>
          <w:rFonts w:ascii="仿宋" w:hAnsi="仿宋" w:cs="仿宋" w:eastAsia="仿宋"/>
          <w:sz w:val="30"/>
          <w:b w:val="off"/>
          <w:color w:val="000000"/>
        </w:rPr>
        <w:t>主要用于</w:t>
      </w:r>
      <w:r>
        <w:rPr>
          <w:rFonts w:ascii="仿宋" w:hAnsi="仿宋" w:cs="仿宋" w:eastAsia="仿宋"/>
          <w:sz w:val="30"/>
          <w:b w:val="off"/>
          <w:color w:val="000000"/>
        </w:rPr>
        <w:t>西青区绿色生态屏障设施养管维护项目支出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“农村综合改革(款)”1,574.91万元，包括：</w:t>
      </w:r>
      <w:r>
        <w:rPr>
          <w:rFonts w:ascii="仿宋" w:hAnsi="仿宋" w:cs="仿宋" w:eastAsia="仿宋"/>
          <w:sz w:val="30"/>
          <w:b w:val="off"/>
          <w:color w:val="000000"/>
        </w:rPr>
        <w:t>“对村级公益事业建设的补助(项)”374.64万元，</w:t>
      </w:r>
      <w:r>
        <w:rPr>
          <w:rFonts w:ascii="仿宋" w:hAnsi="仿宋" w:cs="仿宋" w:eastAsia="仿宋"/>
          <w:sz w:val="30"/>
          <w:b w:val="off"/>
          <w:color w:val="000000"/>
        </w:rPr>
        <w:t>主要用于</w:t>
      </w:r>
      <w:r>
        <w:rPr>
          <w:rFonts w:ascii="仿宋" w:hAnsi="仿宋" w:cs="仿宋" w:eastAsia="仿宋"/>
          <w:sz w:val="30"/>
          <w:b w:val="off"/>
          <w:color w:val="000000"/>
        </w:rPr>
        <w:t>农村卫生户厕改造支出、农村生活污水处理支出等</w:t>
      </w:r>
      <w:r>
        <w:rPr>
          <w:rFonts w:ascii="仿宋" w:hAnsi="仿宋" w:cs="仿宋" w:eastAsia="仿宋"/>
          <w:sz w:val="30"/>
          <w:b w:val="off"/>
          <w:color w:val="000000"/>
        </w:rPr>
        <w:t>；</w:t>
      </w:r>
      <w:r>
        <w:rPr>
          <w:rFonts w:ascii="仿宋" w:hAnsi="仿宋" w:cs="仿宋" w:eastAsia="仿宋"/>
          <w:sz w:val="30"/>
          <w:b w:val="off"/>
          <w:color w:val="000000"/>
        </w:rPr>
        <w:t>“对村民委员会和村党支部的补助(项)”900.27万元，</w:t>
      </w:r>
      <w:r>
        <w:rPr>
          <w:rFonts w:ascii="仿宋" w:hAnsi="仿宋" w:cs="仿宋" w:eastAsia="仿宋"/>
          <w:sz w:val="30"/>
          <w:b w:val="off"/>
          <w:color w:val="000000"/>
        </w:rPr>
        <w:t>主要用于</w:t>
      </w:r>
      <w:r>
        <w:rPr>
          <w:rFonts w:ascii="仿宋" w:hAnsi="仿宋" w:cs="仿宋" w:eastAsia="仿宋"/>
          <w:sz w:val="30"/>
          <w:b w:val="off"/>
          <w:color w:val="000000"/>
        </w:rPr>
        <w:t>村干部报酬及绩效人员类支出</w:t>
      </w:r>
      <w:r>
        <w:rPr>
          <w:rFonts w:ascii="仿宋" w:hAnsi="仿宋" w:cs="仿宋" w:eastAsia="仿宋"/>
          <w:sz w:val="30"/>
          <w:b w:val="off"/>
          <w:color w:val="000000"/>
        </w:rPr>
        <w:t>；</w:t>
      </w:r>
      <w:r>
        <w:rPr>
          <w:rFonts w:ascii="仿宋" w:hAnsi="仿宋" w:cs="仿宋" w:eastAsia="仿宋"/>
          <w:sz w:val="30"/>
          <w:b w:val="off"/>
          <w:color w:val="000000"/>
        </w:rPr>
        <w:t>“对村集体经济组织的补助(项)”300.00万元，</w:t>
      </w:r>
      <w:r>
        <w:rPr>
          <w:rFonts w:ascii="仿宋" w:hAnsi="仿宋" w:cs="仿宋" w:eastAsia="仿宋"/>
          <w:sz w:val="30"/>
          <w:b w:val="off"/>
          <w:color w:val="000000"/>
        </w:rPr>
        <w:t>主要用于</w:t>
      </w:r>
      <w:r>
        <w:rPr>
          <w:rFonts w:ascii="仿宋" w:hAnsi="仿宋" w:cs="仿宋" w:eastAsia="仿宋"/>
          <w:sz w:val="30"/>
          <w:b w:val="off"/>
          <w:color w:val="000000"/>
        </w:rPr>
        <w:t>村级转移支付项目支出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11、“其他支出(类)”11.00万元</w:t>
      </w:r>
      <w:r>
        <w:rPr>
          <w:rFonts w:ascii="仿宋" w:hAnsi="仿宋" w:cs="仿宋" w:eastAsia="仿宋"/>
          <w:sz w:val="30"/>
          <w:b w:val="off"/>
          <w:color w:val="000000"/>
        </w:rPr>
        <w:t>，与2025年预算相比增加11.00万元，主要原因是</w:t>
      </w:r>
      <w:r>
        <w:rPr>
          <w:rFonts w:ascii="仿宋" w:hAnsi="仿宋" w:cs="仿宋" w:eastAsia="仿宋"/>
          <w:sz w:val="30"/>
          <w:b w:val="off"/>
          <w:color w:val="000000"/>
        </w:rPr>
        <w:t>调整结转项目各小区居民绿化提升建设项目</w:t>
      </w:r>
      <w:r>
        <w:rPr>
          <w:rFonts w:ascii="仿宋" w:hAnsi="仿宋" w:cs="仿宋" w:eastAsia="仿宋"/>
          <w:sz w:val="30"/>
          <w:b w:val="off"/>
          <w:color w:val="000000"/>
        </w:rPr>
        <w:t>其中：</w:t>
      </w:r>
      <w:r>
        <w:rPr>
          <w:rFonts w:ascii="仿宋" w:hAnsi="仿宋" w:cs="仿宋" w:eastAsia="仿宋"/>
          <w:sz w:val="30"/>
          <w:b w:val="off"/>
          <w:color w:val="000000"/>
        </w:rPr>
        <w:t>“其他政府性基金及对应专项债务收入安排的支出(款)”11.00万元，包括：</w:t>
      </w:r>
      <w:r>
        <w:rPr>
          <w:rFonts w:ascii="仿宋" w:hAnsi="仿宋" w:cs="仿宋" w:eastAsia="仿宋"/>
          <w:sz w:val="30"/>
          <w:b w:val="off"/>
          <w:color w:val="000000"/>
        </w:rPr>
        <w:t>“其他政府性基金债务收入安排的支出(项)”11.00万元，</w:t>
      </w:r>
      <w:r>
        <w:rPr>
          <w:rFonts w:ascii="仿宋" w:hAnsi="仿宋" w:cs="仿宋" w:eastAsia="仿宋"/>
          <w:sz w:val="30"/>
          <w:b w:val="off"/>
          <w:color w:val="000000"/>
        </w:rPr>
        <w:t>主要用于</w:t>
      </w:r>
      <w:r>
        <w:rPr>
          <w:rFonts w:ascii="仿宋" w:hAnsi="仿宋" w:cs="仿宋" w:eastAsia="仿宋"/>
          <w:sz w:val="30"/>
          <w:b w:val="off"/>
          <w:color w:val="000000"/>
        </w:rPr>
        <w:t>调整结转项目各小区居民绿化提升建设项目</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天津市西青区王稳庄镇人民政府部门2026年一般公共预算基本支出 15,267.69万元</w:t>
      </w:r>
      <w:r>
        <w:rPr>
          <w:rFonts w:ascii="仿宋" w:hAnsi="仿宋" w:cs="仿宋" w:eastAsia="仿宋"/>
          <w:sz w:val="30"/>
          <w:b w:val="off"/>
          <w:color w:val="000000"/>
        </w:rPr>
        <w:t>，与2025年预算相比增加315.31万元，主要原因是</w:t>
      </w:r>
      <w:r>
        <w:rPr>
          <w:rFonts w:ascii="仿宋" w:hAnsi="仿宋" w:cs="仿宋" w:eastAsia="仿宋"/>
          <w:sz w:val="30"/>
          <w:b w:val="off"/>
          <w:color w:val="000000"/>
        </w:rPr>
        <w:t>本部门本年度基本支出分类较上年有变化，其他运转类归类与基本支出</w:t>
      </w:r>
      <w:r>
        <w:rPr>
          <w:rFonts w:ascii="仿宋" w:hAnsi="仿宋" w:cs="仿宋" w:eastAsia="仿宋"/>
          <w:sz w:val="30"/>
          <w:b w:val="off"/>
          <w:color w:val="000000"/>
        </w:rPr>
        <w:t>其中：</w:t>
      </w:r>
      <w:r>
        <w:rPr>
          <w:rFonts w:ascii="仿宋" w:hAnsi="仿宋" w:cs="仿宋" w:eastAsia="仿宋"/>
          <w:sz w:val="30"/>
          <w:b w:val="off"/>
          <w:color w:val="000000"/>
        </w:rPr>
        <w:t>人员经费 13,164.43万元，主要包括：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退职(役)费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公用经费2,103.27万元，主要包括：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手续费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租赁费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公务用车运行维护费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2026年一般公共预算“三公”经费安排3.91万元</w:t>
      </w:r>
      <w:r>
        <w:rPr>
          <w:rFonts w:ascii="仿宋" w:hAnsi="仿宋" w:cs="仿宋" w:eastAsia="仿宋"/>
          <w:sz w:val="30"/>
          <w:b w:val="off"/>
          <w:color w:val="000000"/>
        </w:rPr>
        <w:t>，与2025预算相比减少0.09万元，主要原因是</w:t>
      </w:r>
      <w:r>
        <w:rPr>
          <w:rFonts w:ascii="仿宋" w:hAnsi="仿宋" w:cs="仿宋" w:eastAsia="仿宋"/>
          <w:sz w:val="32"/>
          <w:b w:val="off"/>
          <w:color w:val="000000"/>
        </w:rPr>
        <w:t>压减三公经费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一、2026年因公出国（境）费预算0万元</w:t>
      </w:r>
      <w:r>
        <w:rPr>
          <w:rFonts w:ascii="仿宋" w:hAnsi="仿宋" w:cs="仿宋" w:eastAsia="仿宋"/>
          <w:sz w:val="30"/>
          <w:b w:val="off"/>
          <w:color w:val="000000"/>
        </w:rPr>
        <w:t>，与2025预算相比增加0万元，主要原因是</w:t>
      </w:r>
      <w:r>
        <w:rPr>
          <w:rFonts w:ascii="仿宋" w:hAnsi="仿宋" w:cs="仿宋" w:eastAsia="仿宋"/>
          <w:sz w:val="30"/>
          <w:b w:val="off"/>
          <w:color w:val="000000"/>
        </w:rPr>
        <w:t>本年度我部门未安排因公出国（境）费预算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二、2026年公务用车购置及运行费预算3.91万元，</w:t>
      </w:r>
      <w:r>
        <w:rPr>
          <w:rFonts w:ascii="仿宋" w:hAnsi="仿宋" w:cs="仿宋" w:eastAsia="仿宋"/>
          <w:sz w:val="30"/>
          <w:b w:val="off"/>
          <w:color w:val="000000"/>
        </w:rPr>
        <w:t>其中公务用车运行费3.91万元</w:t>
      </w:r>
      <w:r>
        <w:rPr>
          <w:rFonts w:ascii="仿宋" w:hAnsi="仿宋" w:cs="仿宋" w:eastAsia="仿宋"/>
          <w:sz w:val="30"/>
          <w:b w:val="off"/>
          <w:color w:val="000000"/>
        </w:rPr>
        <w:t>，与2025预算相比减少0.09万元，主要原因是</w:t>
      </w:r>
      <w:r>
        <w:rPr>
          <w:rFonts w:ascii="仿宋" w:hAnsi="仿宋" w:cs="仿宋" w:eastAsia="仿宋"/>
          <w:sz w:val="32"/>
          <w:b w:val="off"/>
          <w:color w:val="000000"/>
        </w:rPr>
        <w:t>压减三公经费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2"/>
          <w:b w:val="off"/>
          <w:color w:val="000000"/>
        </w:rPr>
        <w:t>，与2025预算相比增加0万元，主要原因是</w:t>
      </w:r>
      <w:r>
        <w:rPr>
          <w:rFonts w:ascii="仿宋" w:hAnsi="仿宋" w:cs="仿宋" w:eastAsia="仿宋"/>
          <w:sz w:val="30"/>
          <w:b w:val="off"/>
          <w:color w:val="000000"/>
        </w:rPr>
        <w:t>本年度我部门未安排公务用车购置费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三、2026年公务接待费预算0万元</w:t>
      </w:r>
      <w:r>
        <w:rPr>
          <w:rFonts w:ascii="仿宋" w:hAnsi="仿宋" w:cs="仿宋" w:eastAsia="仿宋"/>
          <w:sz w:val="32"/>
          <w:b w:val="off"/>
          <w:color w:val="000000"/>
        </w:rPr>
        <w:t>，与2025预算相比增加0万元，主要原因是</w:t>
      </w:r>
      <w:r>
        <w:rPr>
          <w:rFonts w:ascii="仿宋" w:hAnsi="仿宋" w:cs="仿宋" w:eastAsia="仿宋"/>
          <w:sz w:val="30"/>
          <w:b w:val="off"/>
          <w:color w:val="000000"/>
        </w:rPr>
        <w:t>本年度我部门未安排公务接待费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天津市西青区王稳庄镇人民政府部门2026年政府性基金预算支出944.99万元</w:t>
      </w:r>
      <w:r>
        <w:rPr>
          <w:rFonts w:ascii="仿宋" w:hAnsi="仿宋" w:cs="仿宋" w:eastAsia="仿宋"/>
          <w:sz w:val="30"/>
          <w:b w:val="off"/>
          <w:color w:val="000000"/>
        </w:rPr>
        <w:t>，与2025年预算相比减少1,427.87万元，主要原因是</w:t>
      </w:r>
      <w:r>
        <w:rPr>
          <w:rFonts w:ascii="仿宋" w:hAnsi="仿宋" w:cs="仿宋" w:eastAsia="仿宋"/>
          <w:sz w:val="30"/>
          <w:b w:val="off"/>
          <w:color w:val="000000"/>
        </w:rPr>
        <w:t>部分政府性基金项目已于2025年支出，本年政府性预算项目均为上年结转项目</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1、“卫生健康支出（类）”50.22万元</w:t>
      </w:r>
      <w:r>
        <w:rPr>
          <w:rFonts w:ascii="仿宋" w:hAnsi="仿宋" w:cs="仿宋" w:eastAsia="仿宋"/>
          <w:sz w:val="32"/>
          <w:b w:val="off"/>
          <w:color w:val="000000"/>
        </w:rPr>
        <w:t>，与2025年</w:t>
      </w:r>
      <w:r>
        <w:rPr>
          <w:rFonts w:ascii="仿宋" w:hAnsi="仿宋" w:cs="仿宋" w:eastAsia="仿宋"/>
          <w:sz w:val="32"/>
          <w:b w:val="off"/>
          <w:color w:val="000000"/>
        </w:rPr>
        <w:t>预算相比</w:t>
      </w:r>
      <w:r>
        <w:rPr>
          <w:rFonts w:ascii="仿宋" w:hAnsi="仿宋" w:cs="仿宋" w:eastAsia="仿宋"/>
          <w:sz w:val="32"/>
          <w:b w:val="off"/>
          <w:color w:val="000000"/>
        </w:rPr>
        <w:t>增加50.22万元，</w:t>
      </w:r>
      <w:r>
        <w:rPr>
          <w:rFonts w:ascii="仿宋" w:hAnsi="仿宋" w:cs="仿宋" w:eastAsia="仿宋"/>
          <w:sz w:val="32"/>
          <w:b w:val="off"/>
          <w:color w:val="000000"/>
        </w:rPr>
        <w:t>主要原因是</w:t>
      </w:r>
      <w:r>
        <w:rPr>
          <w:rFonts w:ascii="仿宋" w:hAnsi="仿宋" w:cs="仿宋" w:eastAsia="仿宋"/>
          <w:sz w:val="30"/>
          <w:b w:val="off"/>
          <w:color w:val="000000"/>
        </w:rPr>
        <w:t>我部门新增卫生健康支出项目</w:t>
      </w:r>
      <w:r>
        <w:rPr>
          <w:rFonts w:ascii="仿宋" w:hAnsi="仿宋" w:cs="仿宋" w:eastAsia="仿宋"/>
          <w:sz w:val="30"/>
          <w:b w:val="off"/>
          <w:color w:val="000000"/>
        </w:rPr>
        <w:t>，其中：</w:t>
      </w:r>
      <w:r>
        <w:rPr>
          <w:rFonts w:ascii="仿宋" w:hAnsi="仿宋" w:cs="仿宋" w:eastAsia="仿宋"/>
          <w:sz w:val="30"/>
          <w:b w:val="off"/>
          <w:color w:val="000000"/>
        </w:rPr>
        <w:t>“超长期特别国债安排的支出（款）”50.22万元，包括：</w:t>
      </w:r>
      <w:r>
        <w:rPr>
          <w:rFonts w:ascii="仿宋" w:hAnsi="仿宋" w:cs="仿宋" w:eastAsia="仿宋"/>
          <w:sz w:val="30"/>
          <w:b w:val="off"/>
          <w:color w:val="000000"/>
        </w:rPr>
        <w:t>“其他卫生健康（项）”50.22万元，</w:t>
      </w:r>
      <w:r>
        <w:rPr>
          <w:rFonts w:ascii="仿宋" w:hAnsi="仿宋" w:cs="仿宋" w:eastAsia="仿宋"/>
          <w:sz w:val="30"/>
          <w:b w:val="off"/>
          <w:color w:val="000000"/>
        </w:rPr>
        <w:t>主要用于</w:t>
      </w:r>
      <w:r>
        <w:rPr>
          <w:rFonts w:ascii="仿宋" w:hAnsi="仿宋" w:cs="仿宋" w:eastAsia="仿宋"/>
          <w:sz w:val="30"/>
          <w:b w:val="off"/>
          <w:color w:val="000000"/>
        </w:rPr>
        <w:t>县域医共体医疗设备更新项目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2、“城乡社区支出（类）”804.03万元</w:t>
      </w:r>
      <w:r>
        <w:rPr>
          <w:rFonts w:ascii="仿宋" w:hAnsi="仿宋" w:cs="仿宋" w:eastAsia="仿宋"/>
          <w:sz w:val="32"/>
          <w:b w:val="off"/>
          <w:color w:val="000000"/>
        </w:rPr>
        <w:t>，与2025年</w:t>
      </w:r>
      <w:r>
        <w:rPr>
          <w:rFonts w:ascii="仿宋" w:hAnsi="仿宋" w:cs="仿宋" w:eastAsia="仿宋"/>
          <w:sz w:val="32"/>
          <w:b w:val="off"/>
          <w:color w:val="000000"/>
        </w:rPr>
        <w:t>预算相比</w:t>
      </w:r>
      <w:r>
        <w:rPr>
          <w:rFonts w:ascii="仿宋" w:hAnsi="仿宋" w:cs="仿宋" w:eastAsia="仿宋"/>
          <w:sz w:val="32"/>
          <w:b w:val="off"/>
          <w:color w:val="000000"/>
        </w:rPr>
        <w:t>减少668.83万元，</w:t>
      </w:r>
      <w:r>
        <w:rPr>
          <w:rFonts w:ascii="仿宋" w:hAnsi="仿宋" w:cs="仿宋" w:eastAsia="仿宋"/>
          <w:sz w:val="32"/>
          <w:b w:val="off"/>
          <w:color w:val="000000"/>
        </w:rPr>
        <w:t>主要原因是</w:t>
      </w:r>
      <w:r>
        <w:rPr>
          <w:rFonts w:ascii="仿宋" w:hAnsi="仿宋" w:cs="仿宋" w:eastAsia="仿宋"/>
          <w:sz w:val="30"/>
          <w:b w:val="off"/>
          <w:color w:val="000000"/>
        </w:rPr>
        <w:t>部分政府性基金项目已于2025年支出，本年政府性预算项目均为上年结转项目</w:t>
      </w:r>
      <w:r>
        <w:rPr>
          <w:rFonts w:ascii="仿宋" w:hAnsi="仿宋" w:cs="仿宋" w:eastAsia="仿宋"/>
          <w:sz w:val="30"/>
          <w:b w:val="off"/>
          <w:color w:val="000000"/>
        </w:rPr>
        <w:t>，其中：</w:t>
      </w:r>
      <w:r>
        <w:rPr>
          <w:rFonts w:ascii="仿宋" w:hAnsi="仿宋" w:cs="仿宋" w:eastAsia="仿宋"/>
          <w:sz w:val="30"/>
          <w:b w:val="off"/>
          <w:color w:val="000000"/>
        </w:rPr>
        <w:t>“国有土地使用权出让收入安排的支出（款）”804.03万元，包括：</w:t>
      </w:r>
      <w:r>
        <w:rPr>
          <w:rFonts w:ascii="仿宋" w:hAnsi="仿宋" w:cs="仿宋" w:eastAsia="仿宋"/>
          <w:sz w:val="30"/>
          <w:b w:val="off"/>
          <w:color w:val="000000"/>
        </w:rPr>
        <w:t>“农村基础设施建设支出（项）”764.36万元，</w:t>
      </w:r>
      <w:r>
        <w:rPr>
          <w:rFonts w:ascii="仿宋" w:hAnsi="仿宋" w:cs="仿宋" w:eastAsia="仿宋"/>
          <w:sz w:val="30"/>
          <w:b w:val="off"/>
          <w:color w:val="000000"/>
        </w:rPr>
        <w:t>主要用于</w:t>
      </w:r>
      <w:r>
        <w:rPr>
          <w:rFonts w:ascii="仿宋" w:hAnsi="仿宋" w:cs="仿宋" w:eastAsia="仿宋"/>
          <w:sz w:val="30"/>
          <w:b w:val="off"/>
          <w:color w:val="000000"/>
        </w:rPr>
        <w:t>政府净收益资金补助项目等</w:t>
      </w:r>
      <w:r>
        <w:rPr>
          <w:rFonts w:ascii="仿宋" w:hAnsi="仿宋" w:cs="仿宋" w:eastAsia="仿宋"/>
          <w:sz w:val="30"/>
          <w:b w:val="off"/>
          <w:color w:val="000000"/>
        </w:rPr>
        <w:t>；</w:t>
      </w:r>
      <w:r>
        <w:rPr>
          <w:rFonts w:ascii="仿宋" w:hAnsi="仿宋" w:cs="仿宋" w:eastAsia="仿宋"/>
          <w:sz w:val="30"/>
          <w:b w:val="off"/>
          <w:color w:val="000000"/>
        </w:rPr>
        <w:t>“农业农村生态环境支出（项）”39.68万元，</w:t>
      </w:r>
      <w:r>
        <w:rPr>
          <w:rFonts w:ascii="仿宋" w:hAnsi="仿宋" w:cs="仿宋" w:eastAsia="仿宋"/>
          <w:sz w:val="30"/>
          <w:b w:val="off"/>
          <w:color w:val="000000"/>
        </w:rPr>
        <w:t>主要用于</w:t>
      </w:r>
      <w:r>
        <w:rPr>
          <w:rFonts w:ascii="仿宋" w:hAnsi="仿宋" w:cs="仿宋" w:eastAsia="仿宋"/>
          <w:sz w:val="30"/>
          <w:b w:val="off"/>
          <w:color w:val="000000"/>
        </w:rPr>
        <w:t>市级林业专项资金项目等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3、“农林水支出（类）”90.73万元</w:t>
      </w:r>
      <w:r>
        <w:rPr>
          <w:rFonts w:ascii="仿宋" w:hAnsi="仿宋" w:cs="仿宋" w:eastAsia="仿宋"/>
          <w:sz w:val="32"/>
          <w:b w:val="off"/>
          <w:color w:val="000000"/>
        </w:rPr>
        <w:t>，与2025年</w:t>
      </w:r>
      <w:r>
        <w:rPr>
          <w:rFonts w:ascii="仿宋" w:hAnsi="仿宋" w:cs="仿宋" w:eastAsia="仿宋"/>
          <w:sz w:val="32"/>
          <w:b w:val="off"/>
          <w:color w:val="000000"/>
        </w:rPr>
        <w:t>预算相比</w:t>
      </w:r>
      <w:r>
        <w:rPr>
          <w:rFonts w:ascii="仿宋" w:hAnsi="仿宋" w:cs="仿宋" w:eastAsia="仿宋"/>
          <w:sz w:val="32"/>
          <w:b w:val="off"/>
          <w:color w:val="000000"/>
        </w:rPr>
        <w:t>减少809.27万元，</w:t>
      </w:r>
      <w:r>
        <w:rPr>
          <w:rFonts w:ascii="仿宋" w:hAnsi="仿宋" w:cs="仿宋" w:eastAsia="仿宋"/>
          <w:sz w:val="32"/>
          <w:b w:val="off"/>
          <w:color w:val="000000"/>
        </w:rPr>
        <w:t>主要原因是</w:t>
      </w:r>
      <w:r>
        <w:rPr>
          <w:rFonts w:ascii="仿宋" w:hAnsi="仿宋" w:cs="仿宋" w:eastAsia="仿宋"/>
          <w:sz w:val="30"/>
          <w:b w:val="off"/>
          <w:color w:val="000000"/>
        </w:rPr>
        <w:t>部分政府性基金项目已于2025年支出，本年政府性预算项目均为上年结转项目</w:t>
      </w:r>
      <w:r>
        <w:rPr>
          <w:rFonts w:ascii="仿宋" w:hAnsi="仿宋" w:cs="仿宋" w:eastAsia="仿宋"/>
          <w:sz w:val="30"/>
          <w:b w:val="off"/>
          <w:color w:val="000000"/>
        </w:rPr>
        <w:t>，其中：</w:t>
      </w:r>
      <w:r>
        <w:rPr>
          <w:rFonts w:ascii="仿宋" w:hAnsi="仿宋" w:cs="仿宋" w:eastAsia="仿宋"/>
          <w:sz w:val="30"/>
          <w:b w:val="off"/>
          <w:color w:val="000000"/>
        </w:rPr>
        <w:t>“大中型水库移民后期扶持基金支出（款）”90.73万元，包括：</w:t>
      </w:r>
      <w:r>
        <w:rPr>
          <w:rFonts w:ascii="仿宋" w:hAnsi="仿宋" w:cs="仿宋" w:eastAsia="仿宋"/>
          <w:sz w:val="30"/>
          <w:b w:val="off"/>
          <w:color w:val="000000"/>
        </w:rPr>
        <w:t>“基础设施建设和经济发展（大中型水库移民后期扶持基金支出）（项）”90.73万元，</w:t>
      </w:r>
      <w:r>
        <w:rPr>
          <w:rFonts w:ascii="仿宋" w:hAnsi="仿宋" w:cs="仿宋" w:eastAsia="仿宋"/>
          <w:sz w:val="30"/>
          <w:b w:val="off"/>
          <w:color w:val="000000"/>
        </w:rPr>
        <w:t>主要用于</w:t>
      </w:r>
      <w:r>
        <w:rPr>
          <w:rFonts w:ascii="仿宋" w:hAnsi="仿宋" w:cs="仿宋" w:eastAsia="仿宋"/>
          <w:sz w:val="30"/>
          <w:b w:val="off"/>
          <w:color w:val="000000"/>
        </w:rPr>
        <w:t>我部门大中型水库移民后期扶持基金支出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2026年天津市西青区王稳庄镇人民政府部门预算中没有使用国有资本经营预算安排的支出。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本部门2026年</w:t>
      </w:r>
      <w:r>
        <w:rPr>
          <w:rFonts w:ascii="仿宋" w:hAnsi="仿宋" w:cs="仿宋" w:eastAsia="仿宋"/>
          <w:sz w:val="30"/>
          <w:b w:val="off"/>
          <w:color w:val="000000"/>
        </w:rPr>
        <w:t>天津市西青区王稳庄镇人民政府</w:t>
      </w:r>
      <w:r>
        <w:rPr>
          <w:rFonts w:ascii="仿宋" w:hAnsi="仿宋" w:cs="仿宋" w:eastAsia="仿宋"/>
          <w:sz w:val="30"/>
          <w:b w:val="off"/>
          <w:color w:val="000000"/>
        </w:rPr>
        <w:t>1家行政单位以及</w:t>
      </w:r>
      <w:r>
        <w:rPr>
          <w:rFonts w:ascii="仿宋" w:hAnsi="仿宋" w:cs="仿宋" w:eastAsia="仿宋"/>
          <w:sz w:val="30"/>
          <w:b w:val="off"/>
          <w:color w:val="000000"/>
        </w:rPr>
        <w:t>天津市西青区王稳庄镇综合执法大队</w:t>
      </w:r>
      <w:r>
        <w:rPr>
          <w:rFonts w:ascii="仿宋" w:hAnsi="仿宋" w:cs="仿宋" w:eastAsia="仿宋"/>
          <w:sz w:val="30"/>
          <w:b w:val="off"/>
          <w:color w:val="000000"/>
        </w:rPr>
        <w:t>1家参公管理事业单位的机关运行经费预算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本部门2026年安排政府采购预算</w:t>
      </w:r>
      <w:r>
        <w:rPr>
          <w:rFonts w:ascii="仿宋" w:hAnsi="仿宋" w:cs="仿宋" w:eastAsia="仿宋"/>
          <w:sz w:val="30"/>
          <w:b w:val="off"/>
          <w:color w:val="000000"/>
        </w:rPr>
        <w:t>2929.27</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161.9</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374.64</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2392.73</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人居环境整治项目、河道保洁项目、环保技术服务项目、第三方安全技术服务费项目、物业管理费等项目。</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截至2025年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41</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9</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30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农业用车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天津市西青区王稳庄镇人民政府部门2026年实行绩效目标管理的项目</w:t>
      </w:r>
      <w:r>
        <w:rPr>
          <w:rFonts w:ascii="仿宋" w:hAnsi="仿宋" w:cs="仿宋" w:eastAsia="仿宋"/>
          <w:sz w:val="30"/>
          <w:b w:val="off"/>
          <w:color w:val="000000"/>
        </w:rPr>
        <w:t>127</w:t>
      </w:r>
      <w:r>
        <w:rPr>
          <w:rFonts w:ascii="仿宋" w:hAnsi="仿宋" w:cs="仿宋" w:eastAsia="仿宋"/>
          <w:sz w:val="30"/>
          <w:b w:val="off"/>
          <w:color w:val="000000"/>
        </w:rPr>
        <w:t>个，涉及预算金额</w:t>
      </w:r>
      <w:r>
        <w:rPr>
          <w:rFonts w:ascii="仿宋" w:hAnsi="仿宋" w:cs="仿宋" w:eastAsia="仿宋"/>
          <w:sz w:val="30"/>
          <w:b w:val="off"/>
          <w:color w:val="000000"/>
        </w:rPr>
        <w:t>12288.89</w:t>
      </w:r>
      <w:r>
        <w:rPr>
          <w:rFonts w:ascii="仿宋" w:hAnsi="仿宋" w:cs="仿宋" w:eastAsia="仿宋"/>
          <w:sz w:val="30"/>
          <w:b w:val="off"/>
          <w:color w:val="000000"/>
        </w:rPr>
        <w:t>万元。</w:t>
      </w:r>
    </w:p>
    <w:p>
      <w:pPr>
        <w:spacing w:line="560" w:lineRule="exact"/>
        <w:ind w:firstLine="600"/>
        <w:jc w:val="both"/>
      </w:pPr>
      <w:r>
        <w:rPr>
          <w:rFonts w:ascii="楷体" w:hAnsi="楷体" w:cs="楷体" w:eastAsia="楷体"/>
          <w:sz w:val="30"/>
          <w:b w:val="on"/>
          <w:color w:val="000000"/>
        </w:rPr>
        <w:t>(五) 委托业务费情况说明。</w:t>
      </w:r>
    </w:p>
    <w:p>
      <w:pPr>
        <w:spacing w:line="560" w:lineRule="exact"/>
        <w:ind w:firstLine="600"/>
        <w:jc w:val="both"/>
      </w:pPr>
      <w:r>
        <w:rPr>
          <w:rFonts w:ascii="仿宋" w:hAnsi="仿宋" w:cs="仿宋" w:eastAsia="仿宋"/>
          <w:sz w:val="30"/>
          <w:b w:val="off"/>
          <w:color w:val="000000"/>
        </w:rPr>
        <w:t>本部门2026年财政拨款支出预算中委托业务费预算</w:t>
      </w:r>
      <w:r>
        <w:rPr>
          <w:rFonts w:ascii="仿宋" w:hAnsi="仿宋" w:cs="仿宋" w:eastAsia="仿宋"/>
          <w:sz w:val="30"/>
          <w:b w:val="off"/>
          <w:color w:val="000000"/>
        </w:rPr>
        <w:t>575.49</w:t>
      </w:r>
      <w:r>
        <w:rPr>
          <w:rFonts w:ascii="仿宋" w:hAnsi="仿宋" w:cs="仿宋" w:eastAsia="仿宋"/>
          <w:sz w:val="30"/>
          <w:b w:val="off"/>
          <w:color w:val="000000"/>
        </w:rPr>
        <w:t>万元，主要用于</w:t>
      </w:r>
      <w:r>
        <w:rPr>
          <w:rFonts w:ascii="仿宋" w:hAnsi="仿宋" w:cs="仿宋" w:eastAsia="仿宋"/>
          <w:sz w:val="30"/>
          <w:b w:val="off"/>
          <w:color w:val="000000"/>
        </w:rPr>
        <w:t>三资代理服务费、环保技术服务费、规划项目、人员招聘等项目支出</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560" w:lineRule="exact"/>
        <w:ind w:firstLine="0"/>
        <w:jc w:val="center"/>
      </w:pPr>
      <w:r>
        <w:rPr>
          <w:rFonts w:ascii="FZXiaoBiaoSong-B05S" w:hAnsi="FZXiaoBiaoSong-B05S" w:cs="FZXiaoBiaoSong-B05S" w:eastAsia="FZXiaoBiaoSong-B05S"/>
          <w:sz w:val="48"/>
          <w:b w:val="on"/>
          <w:color w:val="000000"/>
        </w:rPr>
        <w:t>第四部分   2026年部门预算表</w:t>
      </w:r>
    </w:p>
    <w:tbl>
      <w:tblPr>
        <w:tblW w:w="9027" w:type="dxa"/>
        <w:tblBorders>
          <w:top w:val="single"/>
          <w:left w:val="single"/>
          <w:bottom w:val="single"/>
          <w:right w:val="single"/>
          <w:insideH w:val="single"/>
          <w:insideV w:val="single"/>
        </w:tblBorders>
      </w:tblPr>
      <w:tr>
        <w:trPr>
          <w:cantSplit/>
          <w:trHeight w:val="157"/>
        </w:trPr>
        <w:tc>
          <w:tcPr>
            <w:tcW w:w="3451" w:type="dxa"/>
            <w:hMerge w:val="restart"/>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预算公开表1</w:t>
            </w:r>
          </w:p>
        </w:tc>
        <w:tc>
          <w:tcPr>
            <w:tcW w:w="1027" w:type="dxa"/>
            <w:hMerge w:val="continue"/>
            <w:tcBorders>
              <w:top w:sz="10" w:color="FFFFFF" w:val="single"/>
              <w:left w:sz="10" w:color="FFFFFF" w:val="single"/>
              <w:bottom w:sz="10" w:color="FFFFFF" w:val="single"/>
              <w:right w:sz="10" w:color="FFFFFF" w:val="single"/>
            </w:tcBorders>
          </w:tcPr>
          <w:p>
            <w:r>
              <w:t/>
            </w:r>
          </w:p>
        </w:tc>
        <w:tc>
          <w:tcPr>
            <w:tcW w:w="3610" w:type="dxa"/>
            <w:hMerge w:val="continue"/>
            <w:tcBorders>
              <w:top w:sz="10" w:color="FFFFFF" w:val="single"/>
              <w:left w:sz="10" w:color="FFFFFF" w:val="single"/>
              <w:bottom w:sz="10" w:color="FFFFFF" w:val="single"/>
              <w:right w:sz="10" w:color="FFFFFF" w:val="single"/>
            </w:tcBorders>
          </w:tcPr>
          <w:p>
            <w:r>
              <w:t/>
            </w:r>
          </w:p>
        </w:tc>
        <w:tc>
          <w:tcPr>
            <w:tcW w:w="939" w:type="dxa"/>
            <w:hMerge w:val="continue"/>
            <w:tcBorders>
              <w:top w:sz="10" w:color="FFFFFF" w:val="single"/>
              <w:left w:sz="10" w:color="FFFFFF" w:val="single"/>
              <w:bottom w:sz="10" w:color="FFFFFF" w:val="single"/>
              <w:right w:sz="10" w:color="FFFFFF" w:val="single"/>
            </w:tcBorders>
          </w:tcPr>
          <w:p>
            <w:r>
              <w:t/>
            </w:r>
          </w:p>
        </w:tc>
      </w:tr>
      <w:tr>
        <w:trPr>
          <w:cantSplit/>
          <w:trHeight w:val="157"/>
        </w:trPr>
        <w:tc>
          <w:tcPr>
            <w:tcW w:w="3451"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一、部门收支总体情况表</w:t>
            </w:r>
          </w:p>
        </w:tc>
        <w:tc>
          <w:tcPr>
            <w:tcW w:w="1027" w:type="dxa"/>
            <w:hMerge w:val="continue"/>
            <w:tcBorders>
              <w:top w:sz="10" w:color="FFFFFF" w:val="single"/>
              <w:left w:sz="10" w:color="FFFFFF" w:val="single"/>
              <w:bottom w:sz="10" w:color="FFFFFF" w:val="single"/>
              <w:right w:sz="10" w:color="FFFFFF" w:val="single"/>
            </w:tcBorders>
          </w:tcPr>
          <w:p>
            <w:r>
              <w:t/>
            </w:r>
          </w:p>
        </w:tc>
        <w:tc>
          <w:tcPr>
            <w:tcW w:w="3610" w:type="dxa"/>
            <w:hMerge w:val="continue"/>
            <w:tcBorders>
              <w:top w:sz="10" w:color="FFFFFF" w:val="single"/>
              <w:left w:sz="10" w:color="FFFFFF" w:val="single"/>
              <w:bottom w:sz="10" w:color="FFFFFF" w:val="single"/>
              <w:right w:sz="10" w:color="FFFFFF" w:val="single"/>
            </w:tcBorders>
          </w:tcPr>
          <w:p>
            <w:r>
              <w:t/>
            </w:r>
          </w:p>
        </w:tc>
        <w:tc>
          <w:tcPr>
            <w:tcW w:w="939" w:type="dxa"/>
            <w:hMerge w:val="continue"/>
            <w:tcBorders>
              <w:top w:sz="10" w:color="FFFFFF" w:val="single"/>
              <w:left w:sz="10" w:color="FFFFFF" w:val="single"/>
              <w:bottom w:sz="10" w:color="FFFFFF" w:val="single"/>
              <w:right w:sz="10" w:color="FFFFFF" w:val="single"/>
            </w:tcBorders>
          </w:tcPr>
          <w:p>
            <w:r>
              <w:t/>
            </w:r>
          </w:p>
        </w:tc>
      </w:tr>
      <w:tr>
        <w:trPr>
          <w:cantSplit/>
          <w:trHeight w:val="157"/>
        </w:trPr>
        <w:tc>
          <w:tcPr>
            <w:tcW w:w="3451" w:type="dxa"/>
            <w:hMerge w:val="restart"/>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部门名称：天津市西青区王稳庄镇人民政府</w:t>
            </w:r>
          </w:p>
        </w:tc>
        <w:tc>
          <w:tcPr>
            <w:tcW w:w="1027" w:type="dxa"/>
            <w:hMerge w:val="continue"/>
            <w:tcBorders>
              <w:top w:sz="10" w:color="FFFFFF" w:val="single"/>
              <w:left w:sz="10" w:color="FFFFFF" w:val="single"/>
              <w:bottom w:sz="10" w:color="000000" w:val="single"/>
              <w:right w:sz="10" w:color="FFFFFF" w:val="single"/>
            </w:tcBorders>
          </w:tcPr>
          <w:p>
            <w:r>
              <w:t/>
            </w:r>
          </w:p>
        </w:tc>
        <w:tc>
          <w:tcPr>
            <w:tcW w:w="3610" w:type="dxa"/>
            <w:hMerge w:val="continue"/>
            <w:tcBorders>
              <w:top w:sz="10" w:color="FFFFFF" w:val="single"/>
              <w:left w:sz="10" w:color="FFFFFF" w:val="single"/>
              <w:bottom w:sz="10" w:color="000000" w:val="single"/>
              <w:right w:sz="10" w:color="FFFFFF" w:val="single"/>
            </w:tcBorders>
          </w:tcPr>
          <w:p>
            <w:r>
              <w:t/>
            </w:r>
          </w:p>
        </w:tc>
        <w:tc>
          <w:tcPr>
            <w:tcW w:w="939" w:type="dxa"/>
            <w:tcBorders>
              <w:top w:sz="10" w:color="FFFFFF" w:val="single"/>
              <w:left w:sz="10" w:color="FFFFFF" w:val="single"/>
              <w:bottom w:sz="10" w:color="000000" w:val="single"/>
              <w:right w:sz="10" w:color="FFFFFF" w:val="single"/>
            </w:tcBorders>
            <w:vAlign w:val="center"/>
          </w:tcPr>
          <w:p>
            <w:pPr>
              <w:jc w:val="right"/>
            </w:pPr>
            <w:r>
              <w:rPr>
                <w:rFonts w:ascii="宋体" w:hAnsi="宋体" w:cs="宋体" w:eastAsia="宋体"/>
              </w:rPr>
              <w:t>单位：万元</w:t>
            </w:r>
          </w:p>
        </w:tc>
      </w:tr>
      <w:tr>
        <w:trPr>
          <w:cantSplit/>
          <w:trHeight w:val="157"/>
        </w:trPr>
        <w:tc>
          <w:tcPr>
            <w:tcW w:w="3451"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收入</w:t>
            </w:r>
          </w:p>
        </w:tc>
        <w:tc>
          <w:tcPr>
            <w:tcW w:w="1027" w:type="dxa"/>
            <w:hMerge w:val="continue"/>
            <w:tcBorders>
              <w:top w:sz="10" w:color="000000" w:val="single"/>
              <w:left w:sz="10" w:color="000000" w:val="single"/>
              <w:bottom w:sz="10" w:color="000000" w:val="single"/>
              <w:right w:sz="10" w:color="000000" w:val="single"/>
            </w:tcBorders>
          </w:tcPr>
          <w:p>
            <w:r>
              <w:t/>
            </w:r>
          </w:p>
        </w:tc>
        <w:tc>
          <w:tcPr>
            <w:tcW w:w="3610"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支出</w:t>
            </w:r>
          </w:p>
        </w:tc>
        <w:tc>
          <w:tcPr>
            <w:tcW w:w="939" w:type="dxa"/>
            <w:hMerge w:val="continue"/>
            <w:tcBorders>
              <w:top w:sz="10" w:color="000000" w:val="single"/>
              <w:left w:sz="10" w:color="000000" w:val="single"/>
              <w:bottom w:sz="10" w:color="000000" w:val="single"/>
              <w:right w:sz="10" w:color="000000" w:val="single"/>
            </w:tcBorders>
          </w:tcPr>
          <w:p>
            <w:r>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预算数</w:t>
            </w:r>
          </w:p>
        </w:tc>
        <w:tc>
          <w:tcPr>
            <w:tcW w:w="361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939"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预算数</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一、一般公共预算拨款收入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23758.00</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一、一般公共服务支出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6191.07</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二、政府性基金预算拨款收入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二、公共安全支出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907.85</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三、国有资本经营预算算拨款收入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三、教育支出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8032.99</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四、财政专户管理资金收入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四、科学技术支出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五、事业收入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1342.00</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五、文化旅游体育与传媒支出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52.63</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六、事业单位经营收入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六、社会保障和就业支出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1430.76</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七、上级补助收入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七、卫生健康支出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2486.73</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八、附属单位上缴收入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八、节能环保支出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1663.87</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九、其他收入</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九、城乡社区支出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1397.25</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十、农林水支出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6723.43</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十一、交通运输支出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十二、资源勘探工业信息等支出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十三、商业服务业等支出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十四、金融支出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十五、援助其他地区支出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十六、自然资源海洋气象等支出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十七、住房保障支出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十八、粮油物资储备支出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十九、国有资本经营预算支出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二十、灾害防治及应急管理支出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二十一、其他支出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二十二、债务付息支出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02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二十三、债务发行费用支出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top"/>
          </w:tcPr>
          <w:p>
            <w:pPr>
              <w:jc w:val="left"/>
            </w:pPr>
            <w:r>
              <w:rPr>
                <w:rFonts w:ascii="仿宋" w:hAnsi="仿宋" w:cs="仿宋" w:eastAsia="仿宋"/>
              </w:rPr>
              <w:t>   </w:t>
            </w:r>
          </w:p>
        </w:tc>
        <w:tc>
          <w:tcPr>
            <w:tcW w:w="1027" w:type="dxa"/>
            <w:tcBorders>
              <w:top w:sz="10" w:color="000000" w:val="single"/>
              <w:left w:sz="10" w:color="000000" w:val="single"/>
              <w:bottom w:sz="10" w:color="000000" w:val="single"/>
              <w:right w:sz="10" w:color="000000" w:val="single"/>
            </w:tcBorders>
            <w:vAlign w:val="top"/>
          </w:tcPr>
          <w:p>
            <w:pPr>
              <w:jc w:val="left"/>
            </w:pPr>
            <w:r>
              <w:rPr>
                <w:rFonts w:ascii="仿宋" w:hAnsi="仿宋" w:cs="仿宋" w:eastAsia="仿宋"/>
              </w:rPr>
              <w:t>   </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二十四、国防支出</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本年收入合计</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25100.00</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本年支出合计</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28898.58</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上年结转结余</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3798.58</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年终结转结余</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7"/>
        </w:trPr>
        <w:tc>
          <w:tcPr>
            <w:tcW w:w="345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收入总计</w:t>
            </w:r>
          </w:p>
        </w:tc>
        <w:tc>
          <w:tcPr>
            <w:tcW w:w="102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28898.58</w:t>
            </w:r>
          </w:p>
        </w:tc>
        <w:tc>
          <w:tcPr>
            <w:tcW w:w="361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支出总计</w:t>
            </w:r>
          </w:p>
        </w:tc>
        <w:tc>
          <w:tcPr>
            <w:tcW w:w="93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28898.58</w:t>
            </w:r>
          </w:p>
        </w:tc>
      </w:tr>
    </w:tbl>
    <w:p>
      <w:pPr>
        <w:sectPr>
          <w:headerReference w:type="default" r:id="rId2"/>
          <w:footerReference w:type="default" r:id="rId3"/>
          <w:pgSz w:orient="portrait" w:w="11906" w:h="16838"/>
        </w:sectPr>
      </w:pPr>
    </w:p>
    <w:p>
      <w:pPr>
        <w:pageBreakBefore w:val="on"/>
      </w:pPr>
    </w:p>
    <w:tbl>
      <w:tblPr>
        <w:tblW w:w="9772" w:type="dxa"/>
        <w:tblBorders>
          <w:top w:val="single"/>
          <w:left w:val="single"/>
          <w:bottom w:val="single"/>
          <w:right w:val="single"/>
          <w:insideH w:val="single"/>
          <w:insideV w:val="single"/>
        </w:tblBorders>
      </w:tblPr>
      <w:tr>
        <w:trPr>
          <w:cantSplit/>
          <w:trHeight w:val="225"/>
        </w:trPr>
        <w:tc>
          <w:tcPr>
            <w:tcW w:w="776"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1416"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633"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667"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633"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497"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469"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395" w:type="dxa"/>
            <w:hMerge w:val="restart"/>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预算公开表2</w:t>
            </w:r>
          </w:p>
        </w:tc>
        <w:tc>
          <w:tcPr>
            <w:tcW w:w="347" w:type="dxa"/>
            <w:hMerge w:val="continue"/>
            <w:tcBorders>
              <w:top w:sz="10" w:color="FFFFFF" w:val="single"/>
              <w:left w:sz="10" w:color="FFFFFF" w:val="single"/>
              <w:bottom w:sz="10" w:color="FFFFFF" w:val="single"/>
              <w:right w:sz="10" w:color="FFFFFF" w:val="single"/>
            </w:tcBorders>
          </w:tcPr>
          <w:p>
            <w:r>
              <w:t/>
            </w:r>
          </w:p>
        </w:tc>
        <w:tc>
          <w:tcPr>
            <w:tcW w:w="483" w:type="dxa"/>
            <w:hMerge w:val="continue"/>
            <w:tcBorders>
              <w:top w:sz="10" w:color="FFFFFF" w:val="single"/>
              <w:left w:sz="10" w:color="FFFFFF" w:val="single"/>
              <w:bottom w:sz="10" w:color="FFFFFF" w:val="single"/>
              <w:right w:sz="10" w:color="FFFFFF" w:val="single"/>
            </w:tcBorders>
          </w:tcPr>
          <w:p>
            <w:r>
              <w:t/>
            </w:r>
          </w:p>
        </w:tc>
        <w:tc>
          <w:tcPr>
            <w:tcW w:w="333" w:type="dxa"/>
            <w:hMerge w:val="continue"/>
            <w:tcBorders>
              <w:top w:sz="10" w:color="FFFFFF" w:val="single"/>
              <w:left w:sz="10" w:color="FFFFFF" w:val="single"/>
              <w:bottom w:sz="10" w:color="FFFFFF" w:val="single"/>
              <w:right w:sz="10" w:color="FFFFFF" w:val="single"/>
            </w:tcBorders>
          </w:tcPr>
          <w:p>
            <w:r>
              <w:t/>
            </w:r>
          </w:p>
        </w:tc>
        <w:tc>
          <w:tcPr>
            <w:tcW w:w="490" w:type="dxa"/>
            <w:hMerge w:val="continue"/>
            <w:tcBorders>
              <w:top w:sz="10" w:color="FFFFFF" w:val="single"/>
              <w:left w:sz="10" w:color="FFFFFF" w:val="single"/>
              <w:bottom w:sz="10" w:color="FFFFFF" w:val="single"/>
              <w:right w:sz="10" w:color="FFFFFF" w:val="single"/>
            </w:tcBorders>
          </w:tcPr>
          <w:p>
            <w:r>
              <w:t/>
            </w:r>
          </w:p>
        </w:tc>
        <w:tc>
          <w:tcPr>
            <w:tcW w:w="551" w:type="dxa"/>
            <w:hMerge w:val="continue"/>
            <w:tcBorders>
              <w:top w:sz="10" w:color="FFFFFF" w:val="single"/>
              <w:left w:sz="10" w:color="FFFFFF" w:val="single"/>
              <w:bottom w:sz="10" w:color="FFFFFF" w:val="single"/>
              <w:right w:sz="10" w:color="FFFFFF" w:val="single"/>
            </w:tcBorders>
          </w:tcPr>
          <w:p>
            <w:r>
              <w:t/>
            </w:r>
          </w:p>
        </w:tc>
        <w:tc>
          <w:tcPr>
            <w:tcW w:w="497" w:type="dxa"/>
            <w:hMerge w:val="continue"/>
            <w:tcBorders>
              <w:top w:sz="10" w:color="FFFFFF" w:val="single"/>
              <w:left w:sz="10" w:color="FFFFFF" w:val="single"/>
              <w:bottom w:sz="10" w:color="FFFFFF" w:val="single"/>
              <w:right w:sz="10" w:color="FFFFFF" w:val="single"/>
            </w:tcBorders>
          </w:tcPr>
          <w:p>
            <w:r>
              <w:t/>
            </w:r>
          </w:p>
        </w:tc>
        <w:tc>
          <w:tcPr>
            <w:tcW w:w="422" w:type="dxa"/>
            <w:hMerge w:val="continue"/>
            <w:tcBorders>
              <w:top w:sz="10" w:color="FFFFFF" w:val="single"/>
              <w:left w:sz="10" w:color="FFFFFF" w:val="single"/>
              <w:bottom w:sz="10" w:color="FFFFFF" w:val="single"/>
              <w:right w:sz="10" w:color="FFFFFF" w:val="single"/>
            </w:tcBorders>
          </w:tcPr>
          <w:p>
            <w:r>
              <w:t/>
            </w:r>
          </w:p>
        </w:tc>
        <w:tc>
          <w:tcPr>
            <w:tcW w:w="483" w:type="dxa"/>
            <w:hMerge w:val="continue"/>
            <w:tcBorders>
              <w:top w:sz="10" w:color="FFFFFF" w:val="single"/>
              <w:left w:sz="10" w:color="FFFFFF" w:val="single"/>
              <w:bottom w:sz="10" w:color="FFFFFF" w:val="single"/>
              <w:right w:sz="10" w:color="FFFFFF" w:val="single"/>
            </w:tcBorders>
          </w:tcPr>
          <w:p>
            <w:r>
              <w:t/>
            </w:r>
          </w:p>
        </w:tc>
        <w:tc>
          <w:tcPr>
            <w:tcW w:w="340" w:type="dxa"/>
            <w:hMerge w:val="continue"/>
            <w:tcBorders>
              <w:top w:sz="10" w:color="FFFFFF" w:val="single"/>
              <w:left w:sz="10" w:color="FFFFFF" w:val="single"/>
              <w:bottom w:sz="10" w:color="FFFFFF" w:val="single"/>
              <w:right w:sz="10" w:color="FFFFFF" w:val="single"/>
            </w:tcBorders>
          </w:tcPr>
          <w:p>
            <w:r>
              <w:t/>
            </w:r>
          </w:p>
        </w:tc>
        <w:tc>
          <w:tcPr>
            <w:tcW w:w="340" w:type="dxa"/>
            <w:hMerge w:val="continue"/>
            <w:tcBorders>
              <w:top w:sz="10" w:color="FFFFFF" w:val="single"/>
              <w:left w:sz="10" w:color="FFFFFF" w:val="single"/>
              <w:bottom w:sz="10" w:color="FFFFFF" w:val="single"/>
              <w:right w:sz="10" w:color="FFFFFF" w:val="single"/>
            </w:tcBorders>
          </w:tcPr>
          <w:p>
            <w:r>
              <w:t/>
            </w:r>
          </w:p>
        </w:tc>
      </w:tr>
      <w:tr>
        <w:trPr>
          <w:cantSplit/>
          <w:trHeight w:val="225"/>
        </w:trPr>
        <w:tc>
          <w:tcPr>
            <w:tcW w:w="776" w:type="dxa"/>
            <w:hMerge w:val="restart"/>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二、部门收入总体情况表</w:t>
            </w:r>
          </w:p>
        </w:tc>
        <w:tc>
          <w:tcPr>
            <w:tcW w:w="1416" w:type="dxa"/>
            <w:hMerge w:val="continue"/>
            <w:tcBorders>
              <w:top w:sz="10" w:color="FFFFFF" w:val="single"/>
              <w:left w:sz="10" w:color="FFFFFF" w:val="single"/>
              <w:bottom w:sz="10" w:color="FFFFFF" w:val="single"/>
              <w:right w:sz="10" w:color="FFFFFF" w:val="single"/>
            </w:tcBorders>
          </w:tcPr>
          <w:p>
            <w:r>
              <w:t/>
            </w:r>
          </w:p>
        </w:tc>
        <w:tc>
          <w:tcPr>
            <w:tcW w:w="633" w:type="dxa"/>
            <w:hMerge w:val="continue"/>
            <w:tcBorders>
              <w:top w:sz="10" w:color="FFFFFF" w:val="single"/>
              <w:left w:sz="10" w:color="FFFFFF" w:val="single"/>
              <w:bottom w:sz="10" w:color="FFFFFF" w:val="single"/>
              <w:right w:sz="10" w:color="FFFFFF" w:val="single"/>
            </w:tcBorders>
          </w:tcPr>
          <w:p>
            <w:r>
              <w:t/>
            </w:r>
          </w:p>
        </w:tc>
        <w:tc>
          <w:tcPr>
            <w:tcW w:w="667" w:type="dxa"/>
            <w:hMerge w:val="continue"/>
            <w:tcBorders>
              <w:top w:sz="10" w:color="FFFFFF" w:val="single"/>
              <w:left w:sz="10" w:color="FFFFFF" w:val="single"/>
              <w:bottom w:sz="10" w:color="FFFFFF" w:val="single"/>
              <w:right w:sz="10" w:color="FFFFFF" w:val="single"/>
            </w:tcBorders>
          </w:tcPr>
          <w:p>
            <w:r>
              <w:t/>
            </w:r>
          </w:p>
        </w:tc>
        <w:tc>
          <w:tcPr>
            <w:tcW w:w="633" w:type="dxa"/>
            <w:hMerge w:val="continue"/>
            <w:tcBorders>
              <w:top w:sz="10" w:color="FFFFFF" w:val="single"/>
              <w:left w:sz="10" w:color="FFFFFF" w:val="single"/>
              <w:bottom w:sz="10" w:color="FFFFFF" w:val="single"/>
              <w:right w:sz="10" w:color="FFFFFF" w:val="single"/>
            </w:tcBorders>
          </w:tcPr>
          <w:p>
            <w:r>
              <w:t/>
            </w:r>
          </w:p>
        </w:tc>
        <w:tc>
          <w:tcPr>
            <w:tcW w:w="497" w:type="dxa"/>
            <w:hMerge w:val="continue"/>
            <w:tcBorders>
              <w:top w:sz="10" w:color="FFFFFF" w:val="single"/>
              <w:left w:sz="10" w:color="FFFFFF" w:val="single"/>
              <w:bottom w:sz="10" w:color="FFFFFF" w:val="single"/>
              <w:right w:sz="10" w:color="FFFFFF" w:val="single"/>
            </w:tcBorders>
          </w:tcPr>
          <w:p>
            <w:r>
              <w:t/>
            </w:r>
          </w:p>
        </w:tc>
        <w:tc>
          <w:tcPr>
            <w:tcW w:w="469" w:type="dxa"/>
            <w:hMerge w:val="continue"/>
            <w:tcBorders>
              <w:top w:sz="10" w:color="FFFFFF" w:val="single"/>
              <w:left w:sz="10" w:color="FFFFFF" w:val="single"/>
              <w:bottom w:sz="10" w:color="FFFFFF" w:val="single"/>
              <w:right w:sz="10" w:color="FFFFFF" w:val="single"/>
            </w:tcBorders>
          </w:tcPr>
          <w:p>
            <w:r>
              <w:t/>
            </w:r>
          </w:p>
        </w:tc>
        <w:tc>
          <w:tcPr>
            <w:tcW w:w="395" w:type="dxa"/>
            <w:hMerge w:val="continue"/>
            <w:tcBorders>
              <w:top w:sz="10" w:color="FFFFFF" w:val="single"/>
              <w:left w:sz="10" w:color="FFFFFF" w:val="single"/>
              <w:bottom w:sz="10" w:color="FFFFFF" w:val="single"/>
              <w:right w:sz="10" w:color="FFFFFF" w:val="single"/>
            </w:tcBorders>
          </w:tcPr>
          <w:p>
            <w:r>
              <w:t/>
            </w:r>
          </w:p>
        </w:tc>
        <w:tc>
          <w:tcPr>
            <w:tcW w:w="347" w:type="dxa"/>
            <w:hMerge w:val="continue"/>
            <w:tcBorders>
              <w:top w:sz="10" w:color="FFFFFF" w:val="single"/>
              <w:left w:sz="10" w:color="FFFFFF" w:val="single"/>
              <w:bottom w:sz="10" w:color="FFFFFF" w:val="single"/>
              <w:right w:sz="10" w:color="FFFFFF" w:val="single"/>
            </w:tcBorders>
          </w:tcPr>
          <w:p>
            <w:r>
              <w:t/>
            </w:r>
          </w:p>
        </w:tc>
        <w:tc>
          <w:tcPr>
            <w:tcW w:w="483" w:type="dxa"/>
            <w:hMerge w:val="continue"/>
            <w:tcBorders>
              <w:top w:sz="10" w:color="FFFFFF" w:val="single"/>
              <w:left w:sz="10" w:color="FFFFFF" w:val="single"/>
              <w:bottom w:sz="10" w:color="FFFFFF" w:val="single"/>
              <w:right w:sz="10" w:color="FFFFFF" w:val="single"/>
            </w:tcBorders>
          </w:tcPr>
          <w:p>
            <w:r>
              <w:t/>
            </w:r>
          </w:p>
        </w:tc>
        <w:tc>
          <w:tcPr>
            <w:tcW w:w="333" w:type="dxa"/>
            <w:hMerge w:val="continue"/>
            <w:tcBorders>
              <w:top w:sz="10" w:color="FFFFFF" w:val="single"/>
              <w:left w:sz="10" w:color="FFFFFF" w:val="single"/>
              <w:bottom w:sz="10" w:color="FFFFFF" w:val="single"/>
              <w:right w:sz="10" w:color="FFFFFF" w:val="single"/>
            </w:tcBorders>
          </w:tcPr>
          <w:p>
            <w:r>
              <w:t/>
            </w:r>
          </w:p>
        </w:tc>
        <w:tc>
          <w:tcPr>
            <w:tcW w:w="490" w:type="dxa"/>
            <w:hMerge w:val="continue"/>
            <w:tcBorders>
              <w:top w:sz="10" w:color="FFFFFF" w:val="single"/>
              <w:left w:sz="10" w:color="FFFFFF" w:val="single"/>
              <w:bottom w:sz="10" w:color="FFFFFF" w:val="single"/>
              <w:right w:sz="10" w:color="FFFFFF" w:val="single"/>
            </w:tcBorders>
          </w:tcPr>
          <w:p>
            <w:r>
              <w:t/>
            </w:r>
          </w:p>
        </w:tc>
        <w:tc>
          <w:tcPr>
            <w:tcW w:w="551" w:type="dxa"/>
            <w:hMerge w:val="continue"/>
            <w:tcBorders>
              <w:top w:sz="10" w:color="FFFFFF" w:val="single"/>
              <w:left w:sz="10" w:color="FFFFFF" w:val="single"/>
              <w:bottom w:sz="10" w:color="FFFFFF" w:val="single"/>
              <w:right w:sz="10" w:color="FFFFFF" w:val="single"/>
            </w:tcBorders>
          </w:tcPr>
          <w:p>
            <w:r>
              <w:t/>
            </w:r>
          </w:p>
        </w:tc>
        <w:tc>
          <w:tcPr>
            <w:tcW w:w="497" w:type="dxa"/>
            <w:hMerge w:val="continue"/>
            <w:tcBorders>
              <w:top w:sz="10" w:color="FFFFFF" w:val="single"/>
              <w:left w:sz="10" w:color="FFFFFF" w:val="single"/>
              <w:bottom w:sz="10" w:color="FFFFFF" w:val="single"/>
              <w:right w:sz="10" w:color="FFFFFF" w:val="single"/>
            </w:tcBorders>
          </w:tcPr>
          <w:p>
            <w:r>
              <w:t/>
            </w:r>
          </w:p>
        </w:tc>
        <w:tc>
          <w:tcPr>
            <w:tcW w:w="422" w:type="dxa"/>
            <w:hMerge w:val="continue"/>
            <w:tcBorders>
              <w:top w:sz="10" w:color="FFFFFF" w:val="single"/>
              <w:left w:sz="10" w:color="FFFFFF" w:val="single"/>
              <w:bottom w:sz="10" w:color="FFFFFF" w:val="single"/>
              <w:right w:sz="10" w:color="FFFFFF" w:val="single"/>
            </w:tcBorders>
          </w:tcPr>
          <w:p>
            <w:r>
              <w:t/>
            </w:r>
          </w:p>
        </w:tc>
        <w:tc>
          <w:tcPr>
            <w:tcW w:w="483" w:type="dxa"/>
            <w:hMerge w:val="continue"/>
            <w:tcBorders>
              <w:top w:sz="10" w:color="FFFFFF" w:val="single"/>
              <w:left w:sz="10" w:color="FFFFFF" w:val="single"/>
              <w:bottom w:sz="10" w:color="FFFFFF" w:val="single"/>
              <w:right w:sz="10" w:color="FFFFFF" w:val="single"/>
            </w:tcBorders>
          </w:tcPr>
          <w:p>
            <w:r>
              <w:t/>
            </w:r>
          </w:p>
        </w:tc>
        <w:tc>
          <w:tcPr>
            <w:tcW w:w="340" w:type="dxa"/>
            <w:hMerge w:val="continue"/>
            <w:tcBorders>
              <w:top w:sz="10" w:color="FFFFFF" w:val="single"/>
              <w:left w:sz="10" w:color="FFFFFF" w:val="single"/>
              <w:bottom w:sz="10" w:color="FFFFFF" w:val="single"/>
              <w:right w:sz="10" w:color="FFFFFF" w:val="single"/>
            </w:tcBorders>
          </w:tcPr>
          <w:p>
            <w:r>
              <w:t/>
            </w:r>
          </w:p>
        </w:tc>
        <w:tc>
          <w:tcPr>
            <w:tcW w:w="340" w:type="dxa"/>
            <w:hMerge w:val="continue"/>
            <w:tcBorders>
              <w:top w:sz="10" w:color="FFFFFF" w:val="single"/>
              <w:left w:sz="10" w:color="FFFFFF" w:val="single"/>
              <w:bottom w:sz="10" w:color="FFFFFF" w:val="single"/>
              <w:right w:sz="10" w:color="FFFFFF" w:val="single"/>
            </w:tcBorders>
          </w:tcPr>
          <w:p>
            <w:r>
              <w:t/>
            </w:r>
          </w:p>
        </w:tc>
      </w:tr>
      <w:tr>
        <w:trPr>
          <w:cantSplit/>
          <w:trHeight w:val="225"/>
        </w:trPr>
        <w:tc>
          <w:tcPr>
            <w:tcW w:w="776" w:type="dxa"/>
            <w:hMerge w:val="restart"/>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部门名称：天津市西青区王稳庄镇人民政府</w:t>
            </w:r>
          </w:p>
        </w:tc>
        <w:tc>
          <w:tcPr>
            <w:tcW w:w="1416" w:type="dxa"/>
            <w:hMerge w:val="continue"/>
            <w:tcBorders>
              <w:top w:sz="10" w:color="FFFFFF" w:val="single"/>
              <w:left w:sz="10" w:color="FFFFFF" w:val="single"/>
              <w:bottom w:sz="10" w:color="000000" w:val="single"/>
              <w:right w:sz="10" w:color="FFFFFF" w:val="single"/>
            </w:tcBorders>
          </w:tcPr>
          <w:p>
            <w:r>
              <w:t/>
            </w:r>
          </w:p>
        </w:tc>
        <w:tc>
          <w:tcPr>
            <w:tcW w:w="633" w:type="dxa"/>
            <w:hMerge w:val="continue"/>
            <w:tcBorders>
              <w:top w:sz="10" w:color="FFFFFF" w:val="single"/>
              <w:left w:sz="10" w:color="FFFFFF" w:val="single"/>
              <w:bottom w:sz="10" w:color="000000" w:val="single"/>
              <w:right w:sz="10" w:color="FFFFFF" w:val="single"/>
            </w:tcBorders>
          </w:tcPr>
          <w:p>
            <w:r>
              <w:t/>
            </w:r>
          </w:p>
        </w:tc>
        <w:tc>
          <w:tcPr>
            <w:tcW w:w="667" w:type="dxa"/>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   </w:t>
            </w:r>
          </w:p>
        </w:tc>
        <w:tc>
          <w:tcPr>
            <w:tcW w:w="633" w:type="dxa"/>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   </w:t>
            </w:r>
          </w:p>
        </w:tc>
        <w:tc>
          <w:tcPr>
            <w:tcW w:w="497" w:type="dxa"/>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   </w:t>
            </w:r>
          </w:p>
        </w:tc>
        <w:tc>
          <w:tcPr>
            <w:tcW w:w="469" w:type="dxa"/>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   </w:t>
            </w:r>
          </w:p>
        </w:tc>
        <w:tc>
          <w:tcPr>
            <w:tcW w:w="395" w:type="dxa"/>
            <w:hMerge w:val="restart"/>
            <w:tcBorders>
              <w:top w:sz="10" w:color="FFFFFF" w:val="single"/>
              <w:left w:sz="10" w:color="FFFFFF" w:val="single"/>
              <w:bottom w:sz="10" w:color="000000" w:val="single"/>
              <w:right w:sz="10" w:color="FFFFFF" w:val="single"/>
            </w:tcBorders>
            <w:vAlign w:val="center"/>
          </w:tcPr>
          <w:p>
            <w:pPr>
              <w:jc w:val="right"/>
            </w:pPr>
            <w:r>
              <w:rPr>
                <w:rFonts w:ascii="宋体" w:hAnsi="宋体" w:cs="宋体" w:eastAsia="宋体"/>
              </w:rPr>
              <w:t>单位：万元</w:t>
            </w:r>
          </w:p>
        </w:tc>
        <w:tc>
          <w:tcPr>
            <w:tcW w:w="347" w:type="dxa"/>
            <w:hMerge w:val="continue"/>
            <w:tcBorders>
              <w:top w:sz="10" w:color="FFFFFF" w:val="single"/>
              <w:left w:sz="10" w:color="FFFFFF" w:val="single"/>
              <w:bottom w:sz="10" w:color="000000" w:val="single"/>
              <w:right w:sz="10" w:color="FFFFFF" w:val="single"/>
            </w:tcBorders>
          </w:tcPr>
          <w:p>
            <w:r>
              <w:t/>
            </w:r>
          </w:p>
        </w:tc>
        <w:tc>
          <w:tcPr>
            <w:tcW w:w="483" w:type="dxa"/>
            <w:hMerge w:val="continue"/>
            <w:tcBorders>
              <w:top w:sz="10" w:color="FFFFFF" w:val="single"/>
              <w:left w:sz="10" w:color="FFFFFF" w:val="single"/>
              <w:bottom w:sz="10" w:color="000000" w:val="single"/>
              <w:right w:sz="10" w:color="FFFFFF" w:val="single"/>
            </w:tcBorders>
          </w:tcPr>
          <w:p>
            <w:r>
              <w:t/>
            </w:r>
          </w:p>
        </w:tc>
        <w:tc>
          <w:tcPr>
            <w:tcW w:w="333" w:type="dxa"/>
            <w:hMerge w:val="continue"/>
            <w:tcBorders>
              <w:top w:sz="10" w:color="FFFFFF" w:val="single"/>
              <w:left w:sz="10" w:color="FFFFFF" w:val="single"/>
              <w:bottom w:sz="10" w:color="000000" w:val="single"/>
              <w:right w:sz="10" w:color="FFFFFF" w:val="single"/>
            </w:tcBorders>
          </w:tcPr>
          <w:p>
            <w:r>
              <w:t/>
            </w:r>
          </w:p>
        </w:tc>
        <w:tc>
          <w:tcPr>
            <w:tcW w:w="490" w:type="dxa"/>
            <w:hMerge w:val="continue"/>
            <w:tcBorders>
              <w:top w:sz="10" w:color="FFFFFF" w:val="single"/>
              <w:left w:sz="10" w:color="FFFFFF" w:val="single"/>
              <w:bottom w:sz="10" w:color="000000" w:val="single"/>
              <w:right w:sz="10" w:color="FFFFFF" w:val="single"/>
            </w:tcBorders>
          </w:tcPr>
          <w:p>
            <w:r>
              <w:t/>
            </w:r>
          </w:p>
        </w:tc>
        <w:tc>
          <w:tcPr>
            <w:tcW w:w="551" w:type="dxa"/>
            <w:hMerge w:val="continue"/>
            <w:tcBorders>
              <w:top w:sz="10" w:color="FFFFFF" w:val="single"/>
              <w:left w:sz="10" w:color="FFFFFF" w:val="single"/>
              <w:bottom w:sz="10" w:color="000000" w:val="single"/>
              <w:right w:sz="10" w:color="FFFFFF" w:val="single"/>
            </w:tcBorders>
          </w:tcPr>
          <w:p>
            <w:r>
              <w:t/>
            </w:r>
          </w:p>
        </w:tc>
        <w:tc>
          <w:tcPr>
            <w:tcW w:w="497" w:type="dxa"/>
            <w:hMerge w:val="continue"/>
            <w:tcBorders>
              <w:top w:sz="10" w:color="FFFFFF" w:val="single"/>
              <w:left w:sz="10" w:color="FFFFFF" w:val="single"/>
              <w:bottom w:sz="10" w:color="000000" w:val="single"/>
              <w:right w:sz="10" w:color="FFFFFF" w:val="single"/>
            </w:tcBorders>
          </w:tcPr>
          <w:p>
            <w:r>
              <w:t/>
            </w:r>
          </w:p>
        </w:tc>
        <w:tc>
          <w:tcPr>
            <w:tcW w:w="422" w:type="dxa"/>
            <w:hMerge w:val="continue"/>
            <w:tcBorders>
              <w:top w:sz="10" w:color="FFFFFF" w:val="single"/>
              <w:left w:sz="10" w:color="FFFFFF" w:val="single"/>
              <w:bottom w:sz="10" w:color="000000" w:val="single"/>
              <w:right w:sz="10" w:color="FFFFFF" w:val="single"/>
            </w:tcBorders>
          </w:tcPr>
          <w:p>
            <w:r>
              <w:t/>
            </w:r>
          </w:p>
        </w:tc>
        <w:tc>
          <w:tcPr>
            <w:tcW w:w="483" w:type="dxa"/>
            <w:hMerge w:val="continue"/>
            <w:tcBorders>
              <w:top w:sz="10" w:color="FFFFFF" w:val="single"/>
              <w:left w:sz="10" w:color="FFFFFF" w:val="single"/>
              <w:bottom w:sz="10" w:color="000000" w:val="single"/>
              <w:right w:sz="10" w:color="FFFFFF" w:val="single"/>
            </w:tcBorders>
          </w:tcPr>
          <w:p>
            <w:r>
              <w:t/>
            </w:r>
          </w:p>
        </w:tc>
        <w:tc>
          <w:tcPr>
            <w:tcW w:w="340" w:type="dxa"/>
            <w:hMerge w:val="continue"/>
            <w:tcBorders>
              <w:top w:sz="10" w:color="FFFFFF" w:val="single"/>
              <w:left w:sz="10" w:color="FFFFFF" w:val="single"/>
              <w:bottom w:sz="10" w:color="000000" w:val="single"/>
              <w:right w:sz="10" w:color="FFFFFF" w:val="single"/>
            </w:tcBorders>
          </w:tcPr>
          <w:p>
            <w:r>
              <w:t/>
            </w:r>
          </w:p>
        </w:tc>
        <w:tc>
          <w:tcPr>
            <w:tcW w:w="340" w:type="dxa"/>
            <w:hMerge w:val="continue"/>
            <w:tcBorders>
              <w:top w:sz="10" w:color="FFFFFF" w:val="single"/>
              <w:left w:sz="10" w:color="FFFFFF" w:val="single"/>
              <w:bottom w:sz="10" w:color="000000" w:val="single"/>
              <w:right w:sz="10" w:color="FFFFFF" w:val="single"/>
            </w:tcBorders>
          </w:tcPr>
          <w:p>
            <w:r>
              <w:t/>
            </w:r>
          </w:p>
        </w:tc>
      </w:tr>
      <w:tr>
        <w:trPr>
          <w:cantSplit/>
          <w:trHeight w:val="225"/>
        </w:trPr>
        <w:tc>
          <w:tcPr>
            <w:tcW w:w="776"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1416" w:type="dxa"/>
            <w:hMerge w:val="continue"/>
            <w:tcBorders>
              <w:top w:sz="10" w:color="000000" w:val="single"/>
              <w:left w:sz="10" w:color="000000" w:val="single"/>
              <w:bottom w:sz="10" w:color="000000" w:val="single"/>
              <w:right w:sz="10" w:color="000000" w:val="single"/>
            </w:tcBorders>
          </w:tcPr>
          <w:p>
            <w:r>
              <w:t/>
            </w:r>
          </w:p>
        </w:tc>
        <w:tc>
          <w:tcPr>
            <w:tcW w:w="633"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本年收入</w:t>
            </w:r>
          </w:p>
        </w:tc>
        <w:tc>
          <w:tcPr>
            <w:tcW w:w="667" w:type="dxa"/>
            <w:hMerge w:val="continue"/>
            <w:tcBorders>
              <w:top w:sz="10" w:color="000000" w:val="single"/>
              <w:left w:sz="10" w:color="000000" w:val="single"/>
              <w:bottom w:sz="10" w:color="000000" w:val="single"/>
              <w:right w:sz="10" w:color="000000" w:val="single"/>
            </w:tcBorders>
          </w:tcPr>
          <w:p>
            <w:r>
              <w:t/>
            </w:r>
          </w:p>
        </w:tc>
        <w:tc>
          <w:tcPr>
            <w:tcW w:w="633" w:type="dxa"/>
            <w:hMerge w:val="continue"/>
            <w:tcBorders>
              <w:top w:sz="10" w:color="000000" w:val="single"/>
              <w:left w:sz="10" w:color="000000" w:val="single"/>
              <w:bottom w:sz="10" w:color="000000" w:val="single"/>
              <w:right w:sz="10" w:color="000000" w:val="single"/>
            </w:tcBorders>
          </w:tcPr>
          <w:p>
            <w:r>
              <w:t/>
            </w:r>
          </w:p>
        </w:tc>
        <w:tc>
          <w:tcPr>
            <w:tcW w:w="497" w:type="dxa"/>
            <w:hMerge w:val="continue"/>
            <w:tcBorders>
              <w:top w:sz="10" w:color="000000" w:val="single"/>
              <w:left w:sz="10" w:color="000000" w:val="single"/>
              <w:bottom w:sz="10" w:color="000000" w:val="single"/>
              <w:right w:sz="10" w:color="000000" w:val="single"/>
            </w:tcBorders>
          </w:tcPr>
          <w:p>
            <w:r>
              <w:t/>
            </w:r>
          </w:p>
        </w:tc>
        <w:tc>
          <w:tcPr>
            <w:tcW w:w="469" w:type="dxa"/>
            <w:hMerge w:val="continue"/>
            <w:tcBorders>
              <w:top w:sz="10" w:color="000000" w:val="single"/>
              <w:left w:sz="10" w:color="000000" w:val="single"/>
              <w:bottom w:sz="10" w:color="000000" w:val="single"/>
              <w:right w:sz="10" w:color="000000" w:val="single"/>
            </w:tcBorders>
          </w:tcPr>
          <w:p>
            <w:r>
              <w:t/>
            </w:r>
          </w:p>
        </w:tc>
        <w:tc>
          <w:tcPr>
            <w:tcW w:w="395" w:type="dxa"/>
            <w:hMerge w:val="continue"/>
            <w:tcBorders>
              <w:top w:sz="10" w:color="000000" w:val="single"/>
              <w:left w:sz="10" w:color="000000" w:val="single"/>
              <w:bottom w:sz="10" w:color="000000" w:val="single"/>
              <w:right w:sz="10" w:color="000000" w:val="single"/>
            </w:tcBorders>
          </w:tcPr>
          <w:p>
            <w:r>
              <w:t/>
            </w:r>
          </w:p>
        </w:tc>
        <w:tc>
          <w:tcPr>
            <w:tcW w:w="347" w:type="dxa"/>
            <w:hMerge w:val="continue"/>
            <w:tcBorders>
              <w:top w:sz="10" w:color="000000" w:val="single"/>
              <w:left w:sz="10" w:color="000000" w:val="single"/>
              <w:bottom w:sz="10" w:color="000000" w:val="single"/>
              <w:right w:sz="10" w:color="000000" w:val="single"/>
            </w:tcBorders>
          </w:tcPr>
          <w:p>
            <w:r>
              <w:t/>
            </w:r>
          </w:p>
        </w:tc>
        <w:tc>
          <w:tcPr>
            <w:tcW w:w="483" w:type="dxa"/>
            <w:hMerge w:val="continue"/>
            <w:tcBorders>
              <w:top w:sz="10" w:color="000000" w:val="single"/>
              <w:left w:sz="10" w:color="000000" w:val="single"/>
              <w:bottom w:sz="10" w:color="000000" w:val="single"/>
              <w:right w:sz="10" w:color="000000" w:val="single"/>
            </w:tcBorders>
          </w:tcPr>
          <w:p>
            <w:r>
              <w:t/>
            </w:r>
          </w:p>
        </w:tc>
        <w:tc>
          <w:tcPr>
            <w:tcW w:w="333" w:type="dxa"/>
            <w:hMerge w:val="continue"/>
            <w:tcBorders>
              <w:top w:sz="10" w:color="000000" w:val="single"/>
              <w:left w:sz="10" w:color="000000" w:val="single"/>
              <w:bottom w:sz="10" w:color="000000" w:val="single"/>
              <w:right w:sz="10" w:color="000000" w:val="single"/>
            </w:tcBorders>
          </w:tcPr>
          <w:p>
            <w:r>
              <w:t/>
            </w:r>
          </w:p>
        </w:tc>
        <w:tc>
          <w:tcPr>
            <w:tcW w:w="490" w:type="dxa"/>
            <w:hMerge w:val="continue"/>
            <w:tcBorders>
              <w:top w:sz="10" w:color="000000" w:val="single"/>
              <w:left w:sz="10" w:color="000000" w:val="single"/>
              <w:bottom w:sz="10" w:color="000000" w:val="single"/>
              <w:right w:sz="10" w:color="000000" w:val="single"/>
            </w:tcBorders>
          </w:tcPr>
          <w:p>
            <w:r>
              <w:t/>
            </w:r>
          </w:p>
        </w:tc>
        <w:tc>
          <w:tcPr>
            <w:tcW w:w="551"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上年结转</w:t>
            </w:r>
          </w:p>
        </w:tc>
        <w:tc>
          <w:tcPr>
            <w:tcW w:w="497" w:type="dxa"/>
            <w:hMerge w:val="continue"/>
            <w:tcBorders>
              <w:top w:sz="10" w:color="000000" w:val="single"/>
              <w:left w:sz="10" w:color="000000" w:val="single"/>
              <w:bottom w:sz="10" w:color="000000" w:val="single"/>
              <w:right w:sz="10" w:color="000000" w:val="single"/>
            </w:tcBorders>
          </w:tcPr>
          <w:p>
            <w:r>
              <w:t/>
            </w:r>
          </w:p>
        </w:tc>
        <w:tc>
          <w:tcPr>
            <w:tcW w:w="422" w:type="dxa"/>
            <w:hMerge w:val="continue"/>
            <w:tcBorders>
              <w:top w:sz="10" w:color="000000" w:val="single"/>
              <w:left w:sz="10" w:color="000000" w:val="single"/>
              <w:bottom w:sz="10" w:color="000000" w:val="single"/>
              <w:right w:sz="10" w:color="000000" w:val="single"/>
            </w:tcBorders>
          </w:tcPr>
          <w:p>
            <w:r>
              <w:t/>
            </w:r>
          </w:p>
        </w:tc>
        <w:tc>
          <w:tcPr>
            <w:tcW w:w="483" w:type="dxa"/>
            <w:hMerge w:val="continue"/>
            <w:tcBorders>
              <w:top w:sz="10" w:color="000000" w:val="single"/>
              <w:left w:sz="10" w:color="000000" w:val="single"/>
              <w:bottom w:sz="10" w:color="000000" w:val="single"/>
              <w:right w:sz="10" w:color="000000" w:val="single"/>
            </w:tcBorders>
          </w:tcPr>
          <w:p>
            <w:r>
              <w:t/>
            </w:r>
          </w:p>
        </w:tc>
        <w:tc>
          <w:tcPr>
            <w:tcW w:w="340" w:type="dxa"/>
            <w:hMerge w:val="continue"/>
            <w:tcBorders>
              <w:top w:sz="10" w:color="000000" w:val="single"/>
              <w:left w:sz="10" w:color="000000" w:val="single"/>
              <w:bottom w:sz="10" w:color="000000" w:val="single"/>
              <w:right w:sz="10" w:color="000000" w:val="single"/>
            </w:tcBorders>
          </w:tcPr>
          <w:p>
            <w:r>
              <w:t/>
            </w:r>
          </w:p>
        </w:tc>
        <w:tc>
          <w:tcPr>
            <w:tcW w:w="340" w:type="dxa"/>
            <w:hMerge w:val="continue"/>
            <w:tcBorders>
              <w:top w:sz="10" w:color="000000" w:val="single"/>
              <w:left w:sz="10" w:color="000000" w:val="single"/>
              <w:bottom w:sz="10" w:color="000000" w:val="single"/>
              <w:right w:sz="10" w:color="000000" w:val="single"/>
            </w:tcBorders>
          </w:tcPr>
          <w:p>
            <w:r>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部门(单位)编码</w:t>
            </w:r>
          </w:p>
        </w:tc>
        <w:tc>
          <w:tcPr>
            <w:tcW w:w="1416"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部门(单位)名称</w:t>
            </w:r>
          </w:p>
        </w:tc>
        <w:tc>
          <w:tcPr>
            <w:tcW w:w="63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小计</w:t>
            </w:r>
          </w:p>
        </w:tc>
        <w:tc>
          <w:tcPr>
            <w:tcW w:w="66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一般公共预算</w:t>
            </w:r>
          </w:p>
        </w:tc>
        <w:tc>
          <w:tcPr>
            <w:tcW w:w="63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政府性基金</w:t>
            </w:r>
          </w:p>
        </w:tc>
        <w:tc>
          <w:tcPr>
            <w:tcW w:w="49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国有资本经营预算</w:t>
            </w:r>
          </w:p>
        </w:tc>
        <w:tc>
          <w:tcPr>
            <w:tcW w:w="469"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财政专户管理资金</w:t>
            </w:r>
          </w:p>
        </w:tc>
        <w:tc>
          <w:tcPr>
            <w:tcW w:w="39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事业收入</w:t>
            </w:r>
          </w:p>
        </w:tc>
        <w:tc>
          <w:tcPr>
            <w:tcW w:w="34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事业单位经营收入</w:t>
            </w:r>
          </w:p>
        </w:tc>
        <w:tc>
          <w:tcPr>
            <w:tcW w:w="48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上级补助收入</w:t>
            </w:r>
          </w:p>
        </w:tc>
        <w:tc>
          <w:tcPr>
            <w:tcW w:w="33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附属单位上缴收入</w:t>
            </w:r>
          </w:p>
        </w:tc>
        <w:tc>
          <w:tcPr>
            <w:tcW w:w="49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其他收入</w:t>
            </w:r>
          </w:p>
        </w:tc>
        <w:tc>
          <w:tcPr>
            <w:tcW w:w="55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小计</w:t>
            </w:r>
          </w:p>
        </w:tc>
        <w:tc>
          <w:tcPr>
            <w:tcW w:w="49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一般公共预算</w:t>
            </w:r>
          </w:p>
        </w:tc>
        <w:tc>
          <w:tcPr>
            <w:tcW w:w="42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政府性基金</w:t>
            </w:r>
          </w:p>
        </w:tc>
        <w:tc>
          <w:tcPr>
            <w:tcW w:w="48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国有资本经营预算</w:t>
            </w:r>
          </w:p>
        </w:tc>
        <w:tc>
          <w:tcPr>
            <w:tcW w:w="34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财政专户管理资金</w:t>
            </w:r>
          </w:p>
        </w:tc>
        <w:tc>
          <w:tcPr>
            <w:tcW w:w="34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单位资金</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1416"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25100.00</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23758.00</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1342.00</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3798.58</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2853.60</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944.99</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25100.00</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23758.00</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1342.00</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3798.58</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2853.60</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944.99</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808101</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7636.38</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7636.38</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2390.91</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1626.56</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764.36</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808202</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2352.05</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1010.05</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1342.00</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73.88</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23.66</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808203</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天津市西青区王稳庄镇中心小学</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3759.26</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3759.26</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12.26</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12.26</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808204</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天津市西青区小孙庄中心小学</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1414.19</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1414.19</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808205</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天津市西青区东兰坨中心小学</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1617.64</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1617.64</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808206</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天津市西青区王稳庄镇中心幼儿园</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491.48</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491.48</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808207</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1456.75</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1456.75</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15.87</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15.87</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808208</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天津市西青区王稳庄镇综合治理中心</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924.10</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924.10</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808210</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天津市西青区王稳庄镇第二幼儿园</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433.33</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433.33</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808211</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天津市西青区王稳庄镇教育服务中心</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184.00</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184.00</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808212</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天津市西青区王稳庄镇退役军人服务站</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59.21</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59.21</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808213</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4375.28</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4375.28</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1302.30</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1171.89</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130.41</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77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808301</w:t>
            </w:r>
          </w:p>
        </w:tc>
        <w:tc>
          <w:tcPr>
            <w:tcW w:w="1416"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天津市西青区王稳庄镇综合执法大队</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396.32</w:t>
            </w:r>
          </w:p>
        </w:tc>
        <w:tc>
          <w:tcPr>
            <w:tcW w:w="66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396.32</w:t>
            </w:r>
          </w:p>
        </w:tc>
        <w:tc>
          <w:tcPr>
            <w:tcW w:w="6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6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9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5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9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8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4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bl>
    <w:p>
      <w:pPr>
        <w:sectPr>
          <w:headerReference w:type="default" r:id="rId4"/>
          <w:footerReference w:type="default" r:id="rId5"/>
          <w:pgSz w:orient="landscape" w:w="16838" w:h="11906"/>
        </w:sectPr>
      </w:pPr>
    </w:p>
    <w:p>
      <w:pPr>
        <w:pageBreakBefore w:val="on"/>
      </w:pPr>
    </w:p>
    <w:tbl>
      <w:tblPr>
        <w:tblW w:w="9027" w:type="dxa"/>
        <w:tblBorders>
          <w:top w:val="single"/>
          <w:left w:val="single"/>
          <w:bottom w:val="single"/>
          <w:right w:val="single"/>
          <w:insideH w:val="single"/>
          <w:insideV w:val="single"/>
        </w:tblBorders>
      </w:tblPr>
      <w:tr>
        <w:trPr>
          <w:cantSplit/>
          <w:trHeight w:val="225"/>
        </w:trPr>
        <w:tc>
          <w:tcPr>
            <w:tcW w:w="1214"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2955"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1191"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1046"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847"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603" w:type="dxa"/>
            <w:hMerge w:val="restart"/>
            <w:tcBorders>
              <w:top w:sz="10" w:color="FFFFFF" w:val="single"/>
              <w:left w:sz="10" w:color="FFFFFF" w:val="single"/>
              <w:bottom w:sz="10" w:color="FFFFFF" w:val="single"/>
              <w:right w:sz="10" w:color="FFFFFF" w:val="single"/>
            </w:tcBorders>
            <w:vAlign w:val="bottom"/>
          </w:tcPr>
          <w:p>
            <w:pPr>
              <w:jc w:val="right"/>
            </w:pPr>
            <w:r>
              <w:rPr>
                <w:rFonts w:ascii="仿宋" w:hAnsi="仿宋" w:cs="仿宋" w:eastAsia="仿宋"/>
              </w:rPr>
              <w:t>预算公开表3</w:t>
            </w:r>
          </w:p>
        </w:tc>
        <w:tc>
          <w:tcPr>
            <w:tcW w:w="458" w:type="dxa"/>
            <w:hMerge w:val="continue"/>
            <w:tcBorders>
              <w:top w:sz="10" w:color="FFFFFF" w:val="single"/>
              <w:left w:sz="10" w:color="FFFFFF" w:val="single"/>
              <w:bottom w:sz="10" w:color="FFFFFF" w:val="single"/>
              <w:right w:sz="10" w:color="FFFFFF" w:val="single"/>
            </w:tcBorders>
          </w:tcPr>
          <w:p>
            <w:r>
              <w:t/>
            </w:r>
          </w:p>
        </w:tc>
        <w:tc>
          <w:tcPr>
            <w:tcW w:w="713" w:type="dxa"/>
            <w:hMerge w:val="continue"/>
            <w:tcBorders>
              <w:top w:sz="10" w:color="FFFFFF" w:val="single"/>
              <w:left w:sz="10" w:color="FFFFFF" w:val="single"/>
              <w:bottom w:sz="10" w:color="FFFFFF" w:val="single"/>
              <w:right w:sz="10" w:color="FFFFFF" w:val="single"/>
            </w:tcBorders>
          </w:tcPr>
          <w:p>
            <w:r>
              <w:t/>
            </w:r>
          </w:p>
        </w:tc>
      </w:tr>
      <w:tr>
        <w:trPr>
          <w:cantSplit/>
          <w:trHeight w:val="225"/>
        </w:trPr>
        <w:tc>
          <w:tcPr>
            <w:tcW w:w="1214" w:type="dxa"/>
            <w:hMerge w:val="restart"/>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三、部门支出总体情况表</w:t>
            </w:r>
          </w:p>
        </w:tc>
        <w:tc>
          <w:tcPr>
            <w:tcW w:w="2955" w:type="dxa"/>
            <w:hMerge w:val="continue"/>
            <w:tcBorders>
              <w:top w:sz="10" w:color="FFFFFF" w:val="single"/>
              <w:left w:sz="10" w:color="FFFFFF" w:val="single"/>
              <w:bottom w:sz="10" w:color="FFFFFF" w:val="single"/>
              <w:right w:sz="10" w:color="FFFFFF" w:val="single"/>
            </w:tcBorders>
          </w:tcPr>
          <w:p>
            <w:r>
              <w:t/>
            </w:r>
          </w:p>
        </w:tc>
        <w:tc>
          <w:tcPr>
            <w:tcW w:w="1191" w:type="dxa"/>
            <w:hMerge w:val="continue"/>
            <w:tcBorders>
              <w:top w:sz="10" w:color="FFFFFF" w:val="single"/>
              <w:left w:sz="10" w:color="FFFFFF" w:val="single"/>
              <w:bottom w:sz="10" w:color="FFFFFF" w:val="single"/>
              <w:right w:sz="10" w:color="FFFFFF" w:val="single"/>
            </w:tcBorders>
          </w:tcPr>
          <w:p>
            <w:r>
              <w:t/>
            </w:r>
          </w:p>
        </w:tc>
        <w:tc>
          <w:tcPr>
            <w:tcW w:w="1046" w:type="dxa"/>
            <w:hMerge w:val="continue"/>
            <w:tcBorders>
              <w:top w:sz="10" w:color="FFFFFF" w:val="single"/>
              <w:left w:sz="10" w:color="FFFFFF" w:val="single"/>
              <w:bottom w:sz="10" w:color="FFFFFF" w:val="single"/>
              <w:right w:sz="10" w:color="FFFFFF" w:val="single"/>
            </w:tcBorders>
          </w:tcPr>
          <w:p>
            <w:r>
              <w:t/>
            </w:r>
          </w:p>
        </w:tc>
        <w:tc>
          <w:tcPr>
            <w:tcW w:w="847" w:type="dxa"/>
            <w:hMerge w:val="continue"/>
            <w:tcBorders>
              <w:top w:sz="10" w:color="FFFFFF" w:val="single"/>
              <w:left w:sz="10" w:color="FFFFFF" w:val="single"/>
              <w:bottom w:sz="10" w:color="FFFFFF" w:val="single"/>
              <w:right w:sz="10" w:color="FFFFFF" w:val="single"/>
            </w:tcBorders>
          </w:tcPr>
          <w:p>
            <w:r>
              <w:t/>
            </w:r>
          </w:p>
        </w:tc>
        <w:tc>
          <w:tcPr>
            <w:tcW w:w="603" w:type="dxa"/>
            <w:hMerge w:val="continue"/>
            <w:tcBorders>
              <w:top w:sz="10" w:color="FFFFFF" w:val="single"/>
              <w:left w:sz="10" w:color="FFFFFF" w:val="single"/>
              <w:bottom w:sz="10" w:color="FFFFFF" w:val="single"/>
              <w:right w:sz="10" w:color="FFFFFF" w:val="single"/>
            </w:tcBorders>
          </w:tcPr>
          <w:p>
            <w:r>
              <w:t/>
            </w:r>
          </w:p>
        </w:tc>
        <w:tc>
          <w:tcPr>
            <w:tcW w:w="458" w:type="dxa"/>
            <w:hMerge w:val="continue"/>
            <w:tcBorders>
              <w:top w:sz="10" w:color="FFFFFF" w:val="single"/>
              <w:left w:sz="10" w:color="FFFFFF" w:val="single"/>
              <w:bottom w:sz="10" w:color="FFFFFF" w:val="single"/>
              <w:right w:sz="10" w:color="FFFFFF" w:val="single"/>
            </w:tcBorders>
          </w:tcPr>
          <w:p>
            <w:r>
              <w:t/>
            </w:r>
          </w:p>
        </w:tc>
        <w:tc>
          <w:tcPr>
            <w:tcW w:w="713" w:type="dxa"/>
            <w:hMerge w:val="continue"/>
            <w:tcBorders>
              <w:top w:sz="10" w:color="FFFFFF" w:val="single"/>
              <w:left w:sz="10" w:color="FFFFFF" w:val="single"/>
              <w:bottom w:sz="10" w:color="FFFFFF" w:val="single"/>
              <w:right w:sz="10" w:color="FFFFFF" w:val="single"/>
            </w:tcBorders>
          </w:tcPr>
          <w:p>
            <w:r>
              <w:t/>
            </w:r>
          </w:p>
        </w:tc>
      </w:tr>
      <w:tr>
        <w:trPr>
          <w:cantSplit/>
          <w:trHeight w:val="225"/>
        </w:trPr>
        <w:tc>
          <w:tcPr>
            <w:tcW w:w="1214" w:type="dxa"/>
            <w:hMerge w:val="restart"/>
            <w:tcBorders>
              <w:top w:sz="10" w:color="FFFFFF" w:val="single"/>
              <w:left w:sz="10" w:color="FFFFFF" w:val="single"/>
              <w:bottom w:sz="10" w:color="000000" w:val="single"/>
              <w:right w:sz="10" w:color="FFFFFF" w:val="single"/>
            </w:tcBorders>
            <w:vAlign w:val="center"/>
          </w:tcPr>
          <w:p>
            <w:pPr>
              <w:jc w:val="left"/>
            </w:pPr>
            <w:r>
              <w:rPr>
                <w:rFonts w:ascii="宋体" w:hAnsi="宋体" w:cs="宋体" w:eastAsia="宋体"/>
              </w:rPr>
              <w:t>部门名称：天津市西青区王稳庄镇人民政府</w:t>
            </w:r>
          </w:p>
        </w:tc>
        <w:tc>
          <w:tcPr>
            <w:tcW w:w="2955" w:type="dxa"/>
            <w:hMerge w:val="continue"/>
            <w:tcBorders>
              <w:top w:sz="10" w:color="FFFFFF" w:val="single"/>
              <w:left w:sz="10" w:color="FFFFFF" w:val="single"/>
              <w:bottom w:sz="10" w:color="000000" w:val="single"/>
              <w:right w:sz="10" w:color="FFFFFF" w:val="single"/>
            </w:tcBorders>
          </w:tcPr>
          <w:p>
            <w:r>
              <w:t/>
            </w:r>
          </w:p>
        </w:tc>
        <w:tc>
          <w:tcPr>
            <w:tcW w:w="1191" w:type="dxa"/>
            <w:hMerge w:val="continue"/>
            <w:tcBorders>
              <w:top w:sz="10" w:color="FFFFFF" w:val="single"/>
              <w:left w:sz="10" w:color="FFFFFF" w:val="single"/>
              <w:bottom w:sz="10" w:color="000000" w:val="single"/>
              <w:right w:sz="10" w:color="FFFFFF" w:val="single"/>
            </w:tcBorders>
          </w:tcPr>
          <w:p>
            <w:r>
              <w:t/>
            </w:r>
          </w:p>
        </w:tc>
        <w:tc>
          <w:tcPr>
            <w:tcW w:w="1046" w:type="dxa"/>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   </w:t>
            </w:r>
          </w:p>
        </w:tc>
        <w:tc>
          <w:tcPr>
            <w:tcW w:w="847" w:type="dxa"/>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   </w:t>
            </w:r>
          </w:p>
        </w:tc>
        <w:tc>
          <w:tcPr>
            <w:tcW w:w="603" w:type="dxa"/>
            <w:hMerge w:val="restart"/>
            <w:tcBorders>
              <w:top w:sz="10" w:color="FFFFFF" w:val="single"/>
              <w:left w:sz="10" w:color="FFFFFF" w:val="single"/>
              <w:bottom w:sz="10" w:color="000000" w:val="single"/>
              <w:right w:sz="10" w:color="FFFFFF" w:val="single"/>
            </w:tcBorders>
            <w:vAlign w:val="bottom"/>
          </w:tcPr>
          <w:p>
            <w:pPr>
              <w:jc w:val="right"/>
            </w:pPr>
            <w:r>
              <w:rPr>
                <w:rFonts w:ascii="仿宋" w:hAnsi="仿宋" w:cs="仿宋" w:eastAsia="仿宋"/>
              </w:rPr>
              <w:t>单位：万元</w:t>
            </w:r>
          </w:p>
        </w:tc>
        <w:tc>
          <w:tcPr>
            <w:tcW w:w="458" w:type="dxa"/>
            <w:hMerge w:val="continue"/>
            <w:tcBorders>
              <w:top w:sz="10" w:color="FFFFFF" w:val="single"/>
              <w:left w:sz="10" w:color="FFFFFF" w:val="single"/>
              <w:bottom w:sz="10" w:color="000000" w:val="single"/>
              <w:right w:sz="10" w:color="FFFFFF" w:val="single"/>
            </w:tcBorders>
          </w:tcPr>
          <w:p>
            <w:r>
              <w:t/>
            </w:r>
          </w:p>
        </w:tc>
        <w:tc>
          <w:tcPr>
            <w:tcW w:w="713" w:type="dxa"/>
            <w:hMerge w:val="continue"/>
            <w:tcBorders>
              <w:top w:sz="10" w:color="FFFFFF" w:val="single"/>
              <w:left w:sz="10" w:color="FFFFFF" w:val="single"/>
              <w:bottom w:sz="10" w:color="000000" w:val="single"/>
              <w:right w:sz="10" w:color="FFFFFF" w:val="single"/>
            </w:tcBorders>
          </w:tcPr>
          <w:p>
            <w:r>
              <w:t/>
            </w:r>
          </w:p>
        </w:tc>
      </w:tr>
      <w:tr>
        <w:trPr>
          <w:cantSplit/>
          <w:trHeight w:val="225"/>
        </w:trPr>
        <w:tc>
          <w:tcPr>
            <w:tcW w:w="1214"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2955" w:type="dxa"/>
            <w:hMerge w:val="continue"/>
            <w:tcBorders>
              <w:top w:sz="10" w:color="000000" w:val="single"/>
              <w:left w:sz="10" w:color="000000" w:val="single"/>
              <w:bottom w:sz="10" w:color="000000" w:val="single"/>
              <w:right w:sz="10" w:color="000000" w:val="single"/>
            </w:tcBorders>
          </w:tcPr>
          <w:p>
            <w:r>
              <w:t/>
            </w:r>
          </w:p>
        </w:tc>
        <w:tc>
          <w:tcPr>
            <w:tcW w:w="1191"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2026年预算数</w:t>
            </w:r>
          </w:p>
        </w:tc>
        <w:tc>
          <w:tcPr>
            <w:tcW w:w="1046" w:type="dxa"/>
            <w:hMerge w:val="continue"/>
            <w:tcBorders>
              <w:top w:sz="10" w:color="000000" w:val="single"/>
              <w:left w:sz="10" w:color="000000" w:val="single"/>
              <w:bottom w:sz="10" w:color="000000" w:val="single"/>
              <w:right w:sz="10" w:color="000000" w:val="single"/>
            </w:tcBorders>
          </w:tcPr>
          <w:p>
            <w:r>
              <w:t/>
            </w:r>
          </w:p>
        </w:tc>
        <w:tc>
          <w:tcPr>
            <w:tcW w:w="847" w:type="dxa"/>
            <w:hMerge w:val="continue"/>
            <w:tcBorders>
              <w:top w:sz="10" w:color="000000" w:val="single"/>
              <w:left w:sz="10" w:color="000000" w:val="single"/>
              <w:bottom w:sz="10" w:color="000000" w:val="single"/>
              <w:right w:sz="10" w:color="000000" w:val="single"/>
            </w:tcBorders>
          </w:tcPr>
          <w:p>
            <w:r>
              <w:t/>
            </w:r>
          </w:p>
        </w:tc>
        <w:tc>
          <w:tcPr>
            <w:tcW w:w="603" w:type="dxa"/>
            <w:hMerge w:val="continue"/>
            <w:tcBorders>
              <w:top w:sz="10" w:color="000000" w:val="single"/>
              <w:left w:sz="10" w:color="000000" w:val="single"/>
              <w:bottom w:sz="10" w:color="000000" w:val="single"/>
              <w:right w:sz="10" w:color="000000" w:val="single"/>
            </w:tcBorders>
          </w:tcPr>
          <w:p>
            <w:r>
              <w:t/>
            </w:r>
          </w:p>
        </w:tc>
        <w:tc>
          <w:tcPr>
            <w:tcW w:w="458" w:type="dxa"/>
            <w:hMerge w:val="continue"/>
            <w:tcBorders>
              <w:top w:sz="10" w:color="000000" w:val="single"/>
              <w:left w:sz="10" w:color="000000" w:val="single"/>
              <w:bottom w:sz="10" w:color="000000" w:val="single"/>
              <w:right w:sz="10" w:color="000000" w:val="single"/>
            </w:tcBorders>
          </w:tcPr>
          <w:p>
            <w:r>
              <w:t/>
            </w:r>
          </w:p>
        </w:tc>
        <w:tc>
          <w:tcPr>
            <w:tcW w:w="713" w:type="dxa"/>
            <w:hMerge w:val="continue"/>
            <w:tcBorders>
              <w:top w:sz="10" w:color="000000" w:val="single"/>
              <w:left w:sz="10" w:color="000000" w:val="single"/>
              <w:bottom w:sz="10" w:color="000000" w:val="single"/>
              <w:right w:sz="10" w:color="000000" w:val="single"/>
            </w:tcBorders>
          </w:tcPr>
          <w:p>
            <w:r>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科目编码</w:t>
            </w:r>
          </w:p>
        </w:tc>
        <w:tc>
          <w:tcPr>
            <w:tcW w:w="295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科目名称</w:t>
            </w:r>
          </w:p>
        </w:tc>
        <w:tc>
          <w:tcPr>
            <w:tcW w:w="119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1046"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基本支出</w:t>
            </w:r>
          </w:p>
        </w:tc>
        <w:tc>
          <w:tcPr>
            <w:tcW w:w="84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项目支出</w:t>
            </w:r>
          </w:p>
        </w:tc>
        <w:tc>
          <w:tcPr>
            <w:tcW w:w="60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事业单位经营支出</w:t>
            </w:r>
          </w:p>
        </w:tc>
        <w:tc>
          <w:tcPr>
            <w:tcW w:w="458"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上缴上级支出</w:t>
            </w:r>
          </w:p>
        </w:tc>
        <w:tc>
          <w:tcPr>
            <w:tcW w:w="71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对附属单位补助支出</w:t>
            </w:r>
          </w:p>
        </w:tc>
      </w:tr>
      <w:tr>
        <w:trPr>
          <w:cantSplit/>
          <w:trHeight w:val="225"/>
        </w:trPr>
        <w:tc>
          <w:tcPr>
            <w:tcW w:w="1214"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2955" w:type="dxa"/>
            <w:hMerge w:val="continue"/>
            <w:tcBorders>
              <w:top w:sz="10" w:color="000000" w:val="single"/>
              <w:left w:sz="10" w:color="000000" w:val="single"/>
              <w:bottom w:sz="10" w:color="000000" w:val="single"/>
              <w:right w:sz="10" w:color="000000" w:val="single"/>
            </w:tcBorders>
          </w:tcPr>
          <w:p>
            <w:r>
              <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28898.58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16609.69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12288.89</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一般公共服务支出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6191.07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4027.02</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2164.05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人大事务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2010108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代表工作</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政府办公厅（室）及相关机构事务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5346.66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3502.85</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1843.80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2010301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行政运行（政府办公厅（室）及相关机构事务）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5285.66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3502.85</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1782.80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2010399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其他政府办公厅（室）及相关机构事务支出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20105</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统计信息事务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2010507</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专项普查活动</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党委办公厅（室）及相关机构事务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2013102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一般行政管理事务（党委办公厅（室）及相关机构事务）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组织事务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97.18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66.10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行政运行（组织事务）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一般行政管理事务（组织事务）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64.45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64.45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其他组织事务支出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市场监督管理事务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57.28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57.28</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2013816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食品安全监管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17.28</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2013850</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事业运行（市场监督管理事务）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社会工作事务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600.25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493.08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107.17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2013904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专项业务（社会工作事务）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25.07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12.10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12.97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2013950</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事业运行（社会工作事务）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575.18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480.98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94.20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公共安全支出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907.85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329.39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578.47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公安</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2040299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其他公安支出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其他公共安全支出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895.03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329.39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565.64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2049999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其他公共安全支出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895.03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329.39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565.64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教育支出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8032.99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7458.89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574.10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普通教育</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7924.95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7350.85</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574.10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2050201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学前教育</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1065.86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924.81</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141.05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2050202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小学教育</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6859.10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6426.05</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433.05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成人教育</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2050499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其他成人教育支出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进修及培训</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2050803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培训支出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科学技术支出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20607</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科学技术普及</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2060799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其他科学技术普及支出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文化旅游体育与传媒支出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52.63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52.63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文化和旅游</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50.88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50.88</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2070109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群众文化</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2070199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其他文化和旅游支出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30.26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30.26</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新闻出版电影</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2070699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其他新闻出版电影支出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社会保障和就业支出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1430.76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1399.21</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31.55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人力资源和社会保障管理事务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33.11</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8.56</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24.55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2080199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其他人力资源和社会保障管理事务支出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33.11</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8.56</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24.55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民政管理事务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704.89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704.89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2080201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行政运行（民政管理事务）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684.78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684.78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2080206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社会组织管理</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20.11</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20.11</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行政事业单位养老支出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487.18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487.18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行政单位离退休</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事业单位离退休</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27.09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27.09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2080505</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机关事业单位基本养老保险缴费支出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300.80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300.80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机关事业单位职业年金缴费支出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150.40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150.40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20807</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就业补助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2080701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就业创业服务补贴</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20811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残疾人事业</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2081199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其他残疾人事业支出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20828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退役军人管理事务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51.09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44.09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2082850</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事业运行（退役军人管理事务）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51.09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44.09</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卫生健康支出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2486.73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2343.30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143.42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基层医疗卫生机构</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2190.97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2117.41</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73.56</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城市社区卫生机构</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乡镇卫生院</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2117.41</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2117.41</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其他基层医疗卫生机构支出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72.54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72.54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公共卫生</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2100408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基本公共卫生服务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11.59</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11.59</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2100409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重大公共卫生服务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其他公共卫生支出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0.15</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行政事业单位医疗</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225.90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225.90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行政单位医疗</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78.31</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78.31</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事业单位医疗</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119.10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119.10</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公务员医疗补助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其他行政事业单位医疗支出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13.58</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21098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超长期特别国债安排的支出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2109899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其他卫生健康</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节能环保支出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1663.87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1663.87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污染防治</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1650.87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1650.87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大气</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水体</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固体废弃物与化学品</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288.74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288.74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其他污染防治支出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312.13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312.13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其他节能环保支出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2119999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其他节能环保支出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1397.25</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324.24</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1073.00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城乡社区管理事务</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334.24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324.24</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2120104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城管执法</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334.24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324.24</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城乡社区公共设施</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2120399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其他城乡社区公共设施支出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21208</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国有土地使用权出让收入安排的支出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804.03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804.03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2120804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农村基础设施建设支出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764.36</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764.36</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2120816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农业农村生态环境支出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39.68</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39.68</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农林水支出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6723.43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727.64</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5995.79</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农业农村</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4275.27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646.87</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3628.40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事业运行（农业农村）</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3447.44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646.87</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2800.57</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2130135</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农业生态资源保护</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826.43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826.43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2130152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对高校毕业生到基层任职补助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林业和草原</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2130207</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森林资源管理</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农村综合改革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1574.91</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80.77</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1494.14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2130701</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对村级公益事业建设的补助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374.64</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374.64</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2130705</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对村民委员会和村党支部的补助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900.27</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80.77</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819.50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2130706</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对村集体经济组织的补助</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21372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大中型水库移民后期扶持基金支出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2137202</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基础设施建设和经济发展（大中型水库移民后期扶持基金支出）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229</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22904</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其他政府性基金及对应专项债务收入安排的支出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21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2290403</w:t>
            </w:r>
          </w:p>
        </w:tc>
        <w:tc>
          <w:tcPr>
            <w:tcW w:w="295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其他政府性基金债务收入安排的支出</w:t>
            </w:r>
          </w:p>
        </w:tc>
        <w:tc>
          <w:tcPr>
            <w:tcW w:w="11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10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84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60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71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bl>
    <w:p>
      <w:pPr>
        <w:sectPr>
          <w:headerReference w:type="default" r:id="rId6"/>
          <w:footerReference w:type="default" r:id="rId7"/>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Height w:val="150"/>
        </w:trPr>
        <w:tc>
          <w:tcPr>
            <w:tcW w:w="3142"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1289"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3305"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1291" w:type="dxa"/>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预算公开表4</w:t>
            </w:r>
          </w:p>
        </w:tc>
      </w:tr>
      <w:tr>
        <w:trPr>
          <w:cantSplit/>
          <w:trHeight w:val="150"/>
        </w:trPr>
        <w:tc>
          <w:tcPr>
            <w:tcW w:w="3142"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四、财政拨款收支总体情况表</w:t>
            </w:r>
          </w:p>
        </w:tc>
        <w:tc>
          <w:tcPr>
            <w:tcW w:w="1289" w:type="dxa"/>
            <w:hMerge w:val="continue"/>
            <w:tcBorders>
              <w:top w:sz="10" w:color="FFFFFF" w:val="single"/>
              <w:left w:sz="10" w:color="FFFFFF" w:val="single"/>
              <w:bottom w:sz="10" w:color="FFFFFF" w:val="single"/>
              <w:right w:sz="10" w:color="FFFFFF" w:val="single"/>
            </w:tcBorders>
          </w:tcPr>
          <w:p>
            <w:r>
              <w:t/>
            </w:r>
          </w:p>
        </w:tc>
        <w:tc>
          <w:tcPr>
            <w:tcW w:w="3305" w:type="dxa"/>
            <w:hMerge w:val="continue"/>
            <w:tcBorders>
              <w:top w:sz="10" w:color="FFFFFF" w:val="single"/>
              <w:left w:sz="10" w:color="FFFFFF" w:val="single"/>
              <w:bottom w:sz="10" w:color="FFFFFF" w:val="single"/>
              <w:right w:sz="10" w:color="FFFFFF" w:val="single"/>
            </w:tcBorders>
          </w:tcPr>
          <w:p>
            <w:r>
              <w:t/>
            </w:r>
          </w:p>
        </w:tc>
        <w:tc>
          <w:tcPr>
            <w:tcW w:w="1291" w:type="dxa"/>
            <w:hMerge w:val="continue"/>
            <w:tcBorders>
              <w:top w:sz="10" w:color="FFFFFF" w:val="single"/>
              <w:left w:sz="10" w:color="FFFFFF" w:val="single"/>
              <w:bottom w:sz="10" w:color="FFFFFF" w:val="single"/>
              <w:right w:sz="10" w:color="FFFFFF" w:val="single"/>
            </w:tcBorders>
          </w:tcPr>
          <w:p>
            <w:r>
              <w:t/>
            </w:r>
          </w:p>
        </w:tc>
      </w:tr>
      <w:tr>
        <w:trPr>
          <w:cantSplit/>
          <w:trHeight w:val="150"/>
        </w:trPr>
        <w:tc>
          <w:tcPr>
            <w:tcW w:w="3142" w:type="dxa"/>
            <w:hMerge w:val="restart"/>
            <w:tcBorders>
              <w:top w:sz="10" w:color="FFFFFF" w:val="single"/>
              <w:left w:sz="10" w:color="FFFFFF" w:val="single"/>
              <w:bottom w:sz="10" w:color="000000" w:val="single"/>
              <w:right w:sz="10" w:color="FFFFFF" w:val="single"/>
            </w:tcBorders>
            <w:vAlign w:val="center"/>
          </w:tcPr>
          <w:p>
            <w:pPr>
              <w:jc w:val="left"/>
            </w:pPr>
            <w:r>
              <w:rPr>
                <w:rFonts w:ascii="宋体" w:hAnsi="宋体" w:cs="宋体" w:eastAsia="宋体"/>
              </w:rPr>
              <w:t>部门名称：天津市西青区王稳庄镇人民政府</w:t>
            </w:r>
          </w:p>
        </w:tc>
        <w:tc>
          <w:tcPr>
            <w:tcW w:w="1289" w:type="dxa"/>
            <w:hMerge w:val="continue"/>
            <w:tcBorders>
              <w:top w:sz="10" w:color="FFFFFF" w:val="single"/>
              <w:left w:sz="10" w:color="FFFFFF" w:val="single"/>
              <w:bottom w:sz="10" w:color="000000" w:val="single"/>
              <w:right w:sz="10" w:color="FFFFFF" w:val="single"/>
            </w:tcBorders>
          </w:tcPr>
          <w:p>
            <w:r>
              <w:t/>
            </w:r>
          </w:p>
        </w:tc>
        <w:tc>
          <w:tcPr>
            <w:tcW w:w="3305" w:type="dxa"/>
            <w:hMerge w:val="continue"/>
            <w:tcBorders>
              <w:top w:sz="10" w:color="FFFFFF" w:val="single"/>
              <w:left w:sz="10" w:color="FFFFFF" w:val="single"/>
              <w:bottom w:sz="10" w:color="000000" w:val="single"/>
              <w:right w:sz="10" w:color="FFFFFF" w:val="single"/>
            </w:tcBorders>
          </w:tcPr>
          <w:p>
            <w:r>
              <w:t/>
            </w:r>
          </w:p>
        </w:tc>
        <w:tc>
          <w:tcPr>
            <w:tcW w:w="1291" w:type="dxa"/>
            <w:tcBorders>
              <w:top w:sz="10" w:color="FFFFFF" w:val="single"/>
              <w:left w:sz="10" w:color="FFFFFF" w:val="single"/>
              <w:bottom w:sz="10" w:color="000000" w:val="single"/>
              <w:right w:sz="10" w:color="FFFFFF" w:val="single"/>
            </w:tcBorders>
            <w:vAlign w:val="center"/>
          </w:tcPr>
          <w:p>
            <w:pPr>
              <w:jc w:val="right"/>
            </w:pPr>
            <w:r>
              <w:rPr>
                <w:rFonts w:ascii="宋体" w:hAnsi="宋体" w:cs="宋体" w:eastAsia="宋体"/>
              </w:rPr>
              <w:t>单位：万元</w:t>
            </w:r>
          </w:p>
        </w:tc>
      </w:tr>
      <w:tr>
        <w:trPr>
          <w:cantSplit/>
          <w:trHeight w:val="150"/>
        </w:trPr>
        <w:tc>
          <w:tcPr>
            <w:tcW w:w="3142"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收入</w:t>
            </w:r>
          </w:p>
        </w:tc>
        <w:tc>
          <w:tcPr>
            <w:tcW w:w="1289" w:type="dxa"/>
            <w:hMerge w:val="continue"/>
            <w:tcBorders>
              <w:top w:sz="10" w:color="000000" w:val="single"/>
              <w:left w:sz="10" w:color="000000" w:val="single"/>
              <w:bottom w:sz="10" w:color="000000" w:val="single"/>
              <w:right w:sz="10" w:color="000000" w:val="single"/>
            </w:tcBorders>
          </w:tcPr>
          <w:p>
            <w:r>
              <w:t/>
            </w:r>
          </w:p>
        </w:tc>
        <w:tc>
          <w:tcPr>
            <w:tcW w:w="3305"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支出</w:t>
            </w:r>
          </w:p>
        </w:tc>
        <w:tc>
          <w:tcPr>
            <w:tcW w:w="1291" w:type="dxa"/>
            <w:hMerge w:val="continue"/>
            <w:tcBorders>
              <w:top w:sz="10" w:color="000000" w:val="single"/>
              <w:left w:sz="10" w:color="000000" w:val="single"/>
              <w:bottom w:sz="10" w:color="000000" w:val="single"/>
              <w:right w:sz="10" w:color="000000" w:val="single"/>
            </w:tcBorders>
          </w:tcPr>
          <w:p>
            <w:r>
              <w:t/>
            </w:r>
          </w:p>
        </w:tc>
      </w:tr>
      <w:tr>
        <w:trPr>
          <w:cantSplit/>
          <w:trHeight w:val="150"/>
        </w:trPr>
        <w:tc>
          <w:tcPr>
            <w:tcW w:w="3142"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1289"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预算数</w:t>
            </w:r>
          </w:p>
        </w:tc>
        <w:tc>
          <w:tcPr>
            <w:tcW w:w="3305"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1291"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预算数</w:t>
            </w:r>
          </w:p>
        </w:tc>
      </w:tr>
      <w:tr>
        <w:trPr>
          <w:cantSplit/>
          <w:trHeight w:val="150"/>
        </w:trPr>
        <w:tc>
          <w:tcPr>
            <w:tcW w:w="3142" w:type="dxa"/>
            <w:vMerge w:val="continue"/>
            <w:tcBorders>
              <w:top w:sz="10" w:color="000000" w:val="single"/>
              <w:left w:sz="10" w:color="000000" w:val="single"/>
              <w:bottom w:sz="10" w:color="000000" w:val="single"/>
              <w:right w:sz="10" w:color="000000" w:val="single"/>
            </w:tcBorders>
          </w:tcPr>
          <w:p>
            <w:r>
              <w:t/>
            </w:r>
          </w:p>
        </w:tc>
        <w:tc>
          <w:tcPr>
            <w:tcW w:w="1289" w:type="dxa"/>
            <w:vMerge w:val="continue"/>
            <w:tcBorders>
              <w:top w:sz="10" w:color="000000" w:val="single"/>
              <w:left w:sz="10" w:color="000000" w:val="single"/>
              <w:bottom w:sz="10" w:color="000000" w:val="single"/>
              <w:right w:sz="10" w:color="000000" w:val="single"/>
            </w:tcBorders>
          </w:tcPr>
          <w:p>
            <w:r>
              <w:t/>
            </w:r>
          </w:p>
        </w:tc>
        <w:tc>
          <w:tcPr>
            <w:tcW w:w="3305" w:type="dxa"/>
            <w:vMerge w:val="continue"/>
            <w:tcBorders>
              <w:top w:sz="10" w:color="000000" w:val="single"/>
              <w:left w:sz="10" w:color="000000" w:val="single"/>
              <w:bottom w:sz="10" w:color="000000" w:val="single"/>
              <w:right w:sz="10" w:color="000000" w:val="single"/>
            </w:tcBorders>
          </w:tcPr>
          <w:p>
            <w:r>
              <w:t/>
            </w:r>
          </w:p>
        </w:tc>
        <w:tc>
          <w:tcPr>
            <w:tcW w:w="1291" w:type="dxa"/>
            <w:vMerge w:val="continue"/>
            <w:tcBorders>
              <w:top w:sz="10" w:color="000000" w:val="single"/>
              <w:left w:sz="10" w:color="000000" w:val="single"/>
              <w:bottom w:sz="10" w:color="000000" w:val="single"/>
              <w:right w:sz="10" w:color="000000" w:val="single"/>
            </w:tcBorders>
          </w:tcPr>
          <w:p>
            <w:r>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一、本年收入</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23758.00</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一、本年支出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27556.58</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（1）一般公共预算拨款</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23758.00</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（一）一般公共服务支出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6191.07</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（2）政府性基金预算拨款</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（二）公共安全支出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907.85</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（3）国有资本经营预算拨款</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（三）教育支出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8032.99</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二、上年财政结转结余</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3798.58</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（四）科学技术支出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（1）一般公共预算</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2853.60</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（五）文化旅游体育与传媒支出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52.63</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（2）政府性基金预算</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944.99</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（六）社会保障和就业支出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1430.76</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（3）国有资本经营预算</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（七）卫生健康支出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1144.73</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（八）节能环保支出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1663.87</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（九）城乡社区支出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1397.25</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（十）农林水支出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6723.43</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（十一）交通运输支出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（十二）资源勘探工业信息等支出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（十三）商业服务业等支出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（十四）金融支出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（十五）援助其他地区支出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（十六）自然资源海洋气象等支出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（十七）住房保障支出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（十八）粮油物资储备支出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（十九）国有资本经营预算支出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（二十）灾害防治及应急管理支出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（二十一）其他支出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（二十二）债务付息支出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（二十三）债务发行费用支出</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tcBorders>
            <w:vAlign w:val="top"/>
          </w:tcPr>
          <w:p>
            <w:pPr>
              <w:jc w:val="left"/>
            </w:pPr>
            <w:r>
              <w:rPr>
                <w:rFonts w:ascii="仿宋" w:hAnsi="仿宋" w:cs="仿宋" w:eastAsia="仿宋"/>
              </w:rPr>
              <w:t>   </w:t>
            </w:r>
          </w:p>
        </w:tc>
        <w:tc>
          <w:tcPr>
            <w:tcW w:w="1289" w:type="dxa"/>
            <w:tcBorders>
              <w:top w:sz="10" w:color="000000" w:val="single"/>
              <w:bottom w:sz="10" w:color="000000" w:val="single"/>
            </w:tcBorders>
            <w:vAlign w:val="top"/>
          </w:tcPr>
          <w:p>
            <w:pPr>
              <w:jc w:val="left"/>
            </w:pPr>
            <w:r>
              <w:rPr>
                <w:rFonts w:ascii="仿宋" w:hAnsi="仿宋" w:cs="仿宋" w:eastAsia="仿宋"/>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（二十四）国防支出</w:t>
            </w:r>
          </w:p>
        </w:tc>
        <w:tc>
          <w:tcPr>
            <w:tcW w:w="1291" w:type="dxa"/>
            <w:tcBorders>
              <w:top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89"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30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二、年终结转</w:t>
            </w:r>
          </w:p>
        </w:tc>
        <w:tc>
          <w:tcPr>
            <w:tcW w:w="129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150"/>
        </w:trPr>
        <w:tc>
          <w:tcPr>
            <w:tcW w:w="31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收入总计</w:t>
            </w:r>
          </w:p>
        </w:tc>
        <w:tc>
          <w:tcPr>
            <w:tcW w:w="1289"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27556.58</w:t>
            </w:r>
          </w:p>
        </w:tc>
        <w:tc>
          <w:tcPr>
            <w:tcW w:w="330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支出总计</w:t>
            </w:r>
          </w:p>
        </w:tc>
        <w:tc>
          <w:tcPr>
            <w:tcW w:w="129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27556.58</w:t>
            </w:r>
          </w:p>
        </w:tc>
      </w:tr>
    </w:tbl>
    <w:p>
      <w:pPr>
        <w:sectPr>
          <w:headerReference w:type="default" r:id="rId8"/>
          <w:footerReference w:type="default" r:id="rId9"/>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Pr>
        <w:tc>
          <w:tcPr>
            <w:tcW w:w="1265" w:type="dxa"/>
            <w:hMerge w:val="restart"/>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预算公开表5</w:t>
            </w:r>
          </w:p>
        </w:tc>
        <w:tc>
          <w:tcPr>
            <w:tcW w:w="3464" w:type="dxa"/>
            <w:hMerge w:val="continue"/>
            <w:tcBorders>
              <w:top w:sz="10" w:color="FFFFFF" w:val="single"/>
              <w:left w:sz="10" w:color="FFFFFF" w:val="single"/>
              <w:bottom w:sz="10" w:color="FFFFFF" w:val="single"/>
              <w:right w:sz="10" w:color="FFFFFF" w:val="single"/>
            </w:tcBorders>
          </w:tcPr>
          <w:p>
            <w:r>
              <w:t/>
            </w:r>
          </w:p>
        </w:tc>
        <w:tc>
          <w:tcPr>
            <w:tcW w:w="1207" w:type="dxa"/>
            <w:hMerge w:val="continue"/>
            <w:tcBorders>
              <w:top w:sz="10" w:color="FFFFFF" w:val="single"/>
              <w:left w:sz="10" w:color="FFFFFF" w:val="single"/>
              <w:bottom w:sz="10" w:color="FFFFFF" w:val="single"/>
              <w:right w:sz="10" w:color="FFFFFF" w:val="single"/>
            </w:tcBorders>
          </w:tcPr>
          <w:p>
            <w:r>
              <w:t/>
            </w:r>
          </w:p>
        </w:tc>
        <w:tc>
          <w:tcPr>
            <w:tcW w:w="532" w:type="dxa"/>
            <w:hMerge w:val="continue"/>
            <w:tcBorders>
              <w:top w:sz="10" w:color="FFFFFF" w:val="single"/>
              <w:left w:sz="10" w:color="FFFFFF" w:val="single"/>
              <w:bottom w:sz="10" w:color="FFFFFF" w:val="single"/>
              <w:right w:sz="10" w:color="FFFFFF" w:val="single"/>
            </w:tcBorders>
          </w:tcPr>
          <w:p>
            <w:r>
              <w:t/>
            </w:r>
          </w:p>
        </w:tc>
        <w:tc>
          <w:tcPr>
            <w:tcW w:w="532" w:type="dxa"/>
            <w:hMerge w:val="continue"/>
            <w:tcBorders>
              <w:top w:sz="10" w:color="FFFFFF" w:val="single"/>
              <w:left w:sz="10" w:color="FFFFFF" w:val="single"/>
              <w:bottom w:sz="10" w:color="FFFFFF" w:val="single"/>
              <w:right w:sz="10" w:color="FFFFFF" w:val="single"/>
            </w:tcBorders>
          </w:tcPr>
          <w:p>
            <w:r>
              <w:t/>
            </w:r>
          </w:p>
        </w:tc>
        <w:tc>
          <w:tcPr>
            <w:tcW w:w="1057" w:type="dxa"/>
            <w:hMerge w:val="continue"/>
            <w:tcBorders>
              <w:top w:sz="10" w:color="FFFFFF" w:val="single"/>
              <w:left w:sz="10" w:color="FFFFFF" w:val="single"/>
              <w:bottom w:sz="10" w:color="FFFFFF" w:val="single"/>
              <w:right w:sz="10" w:color="FFFFFF" w:val="single"/>
            </w:tcBorders>
          </w:tcPr>
          <w:p>
            <w:r>
              <w:t/>
            </w:r>
          </w:p>
        </w:tc>
        <w:tc>
          <w:tcPr>
            <w:tcW w:w="970" w:type="dxa"/>
            <w:hMerge w:val="continue"/>
            <w:tcBorders>
              <w:top w:sz="10" w:color="FFFFFF" w:val="single"/>
              <w:left w:sz="10" w:color="FFFFFF" w:val="single"/>
              <w:bottom w:sz="10" w:color="FFFFFF" w:val="single"/>
              <w:right w:sz="10" w:color="FFFFFF" w:val="single"/>
            </w:tcBorders>
          </w:tcPr>
          <w:p>
            <w:r>
              <w:t/>
            </w:r>
          </w:p>
        </w:tc>
      </w:tr>
      <w:tr>
        <w:trPr>
          <w:cantSplit/>
        </w:trPr>
        <w:tc>
          <w:tcPr>
            <w:tcW w:w="1265"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五、一般公共预算支出情况表</w:t>
            </w:r>
          </w:p>
        </w:tc>
        <w:tc>
          <w:tcPr>
            <w:tcW w:w="3464" w:type="dxa"/>
            <w:hMerge w:val="continue"/>
            <w:tcBorders>
              <w:top w:sz="10" w:color="FFFFFF" w:val="single"/>
              <w:left w:sz="10" w:color="FFFFFF" w:val="single"/>
              <w:bottom w:sz="10" w:color="FFFFFF" w:val="single"/>
              <w:right w:sz="10" w:color="FFFFFF" w:val="single"/>
            </w:tcBorders>
          </w:tcPr>
          <w:p>
            <w:r>
              <w:t/>
            </w:r>
          </w:p>
        </w:tc>
        <w:tc>
          <w:tcPr>
            <w:tcW w:w="1207" w:type="dxa"/>
            <w:hMerge w:val="continue"/>
            <w:tcBorders>
              <w:top w:sz="10" w:color="FFFFFF" w:val="single"/>
              <w:left w:sz="10" w:color="FFFFFF" w:val="single"/>
              <w:bottom w:sz="10" w:color="FFFFFF" w:val="single"/>
              <w:right w:sz="10" w:color="FFFFFF" w:val="single"/>
            </w:tcBorders>
          </w:tcPr>
          <w:p>
            <w:r>
              <w:t/>
            </w:r>
          </w:p>
        </w:tc>
        <w:tc>
          <w:tcPr>
            <w:tcW w:w="532" w:type="dxa"/>
            <w:hMerge w:val="continue"/>
            <w:tcBorders>
              <w:top w:sz="10" w:color="FFFFFF" w:val="single"/>
              <w:left w:sz="10" w:color="FFFFFF" w:val="single"/>
              <w:bottom w:sz="10" w:color="FFFFFF" w:val="single"/>
              <w:right w:sz="10" w:color="FFFFFF" w:val="single"/>
            </w:tcBorders>
          </w:tcPr>
          <w:p>
            <w:r>
              <w:t/>
            </w:r>
          </w:p>
        </w:tc>
        <w:tc>
          <w:tcPr>
            <w:tcW w:w="532" w:type="dxa"/>
            <w:hMerge w:val="continue"/>
            <w:tcBorders>
              <w:top w:sz="10" w:color="FFFFFF" w:val="single"/>
              <w:left w:sz="10" w:color="FFFFFF" w:val="single"/>
              <w:bottom w:sz="10" w:color="FFFFFF" w:val="single"/>
              <w:right w:sz="10" w:color="FFFFFF" w:val="single"/>
            </w:tcBorders>
          </w:tcPr>
          <w:p>
            <w:r>
              <w:t/>
            </w:r>
          </w:p>
        </w:tc>
        <w:tc>
          <w:tcPr>
            <w:tcW w:w="1057" w:type="dxa"/>
            <w:hMerge w:val="continue"/>
            <w:tcBorders>
              <w:top w:sz="10" w:color="FFFFFF" w:val="single"/>
              <w:left w:sz="10" w:color="FFFFFF" w:val="single"/>
              <w:bottom w:sz="10" w:color="FFFFFF" w:val="single"/>
              <w:right w:sz="10" w:color="FFFFFF" w:val="single"/>
            </w:tcBorders>
          </w:tcPr>
          <w:p>
            <w:r>
              <w:t/>
            </w:r>
          </w:p>
        </w:tc>
        <w:tc>
          <w:tcPr>
            <w:tcW w:w="970" w:type="dxa"/>
            <w:hMerge w:val="continue"/>
            <w:tcBorders>
              <w:top w:sz="10" w:color="FFFFFF" w:val="single"/>
              <w:left w:sz="10" w:color="FFFFFF" w:val="single"/>
              <w:bottom w:sz="10" w:color="FFFFFF" w:val="single"/>
              <w:right w:sz="10" w:color="FFFFFF" w:val="single"/>
            </w:tcBorders>
          </w:tcPr>
          <w:p>
            <w:r>
              <w:t/>
            </w:r>
          </w:p>
        </w:tc>
      </w:tr>
      <w:tr>
        <w:trPr>
          <w:cantSplit/>
        </w:trPr>
        <w:tc>
          <w:tcPr>
            <w:tcW w:w="1265" w:type="dxa"/>
            <w:hMerge w:val="restart"/>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部门名称：天津市西青区王稳庄镇人民政府</w:t>
            </w:r>
          </w:p>
        </w:tc>
        <w:tc>
          <w:tcPr>
            <w:tcW w:w="3464" w:type="dxa"/>
            <w:hMerge w:val="continue"/>
            <w:tcBorders>
              <w:top w:sz="10" w:color="FFFFFF" w:val="single"/>
              <w:left w:sz="10" w:color="FFFFFF" w:val="single"/>
              <w:bottom w:sz="10" w:color="000000" w:val="single"/>
              <w:right w:sz="10" w:color="FFFFFF" w:val="single"/>
            </w:tcBorders>
          </w:tcPr>
          <w:p>
            <w:r>
              <w:t/>
            </w:r>
          </w:p>
        </w:tc>
        <w:tc>
          <w:tcPr>
            <w:tcW w:w="1207" w:type="dxa"/>
            <w:hMerge w:val="continue"/>
            <w:tcBorders>
              <w:top w:sz="10" w:color="FFFFFF" w:val="single"/>
              <w:left w:sz="10" w:color="FFFFFF" w:val="single"/>
              <w:bottom w:sz="10" w:color="000000" w:val="single"/>
              <w:right w:sz="10" w:color="FFFFFF" w:val="single"/>
            </w:tcBorders>
          </w:tcPr>
          <w:p>
            <w:r>
              <w:t/>
            </w:r>
          </w:p>
        </w:tc>
        <w:tc>
          <w:tcPr>
            <w:tcW w:w="532" w:type="dxa"/>
            <w:tcBorders>
              <w:top w:sz="10" w:color="FFFFFF" w:val="single"/>
              <w:left w:sz="10" w:color="FFFFFF" w:val="single"/>
              <w:bottom w:sz="10" w:color="000000" w:val="single"/>
              <w:right w:sz="10" w:color="FFFFFF" w:val="single"/>
            </w:tcBorders>
            <w:vAlign w:val="center"/>
          </w:tcPr>
          <w:p>
            <w:pPr>
              <w:jc w:val="center"/>
            </w:pPr>
            <w:r>
              <w:rPr>
                <w:rFonts w:ascii="仿宋" w:hAnsi="仿宋" w:cs="仿宋" w:eastAsia="仿宋"/>
              </w:rPr>
              <w:t>   </w:t>
            </w:r>
          </w:p>
        </w:tc>
        <w:tc>
          <w:tcPr>
            <w:tcW w:w="532" w:type="dxa"/>
            <w:tcBorders>
              <w:top w:sz="10" w:color="FFFFFF" w:val="single"/>
              <w:left w:sz="10" w:color="FFFFFF" w:val="single"/>
              <w:bottom w:sz="10" w:color="000000" w:val="single"/>
              <w:right w:sz="10" w:color="FFFFFF" w:val="single"/>
            </w:tcBorders>
            <w:vAlign w:val="center"/>
          </w:tcPr>
          <w:p>
            <w:pPr>
              <w:jc w:val="center"/>
            </w:pPr>
            <w:r>
              <w:rPr>
                <w:rFonts w:ascii="仿宋" w:hAnsi="仿宋" w:cs="仿宋" w:eastAsia="仿宋"/>
              </w:rPr>
              <w:t>   </w:t>
            </w:r>
          </w:p>
        </w:tc>
        <w:tc>
          <w:tcPr>
            <w:tcW w:w="1057" w:type="dxa"/>
            <w:hMerge w:val="restart"/>
            <w:tcBorders>
              <w:top w:sz="10" w:color="FFFFFF" w:val="single"/>
              <w:left w:sz="10" w:color="FFFFFF" w:val="single"/>
              <w:bottom w:sz="10" w:color="000000" w:val="single"/>
              <w:right w:sz="10" w:color="FFFFFF" w:val="single"/>
            </w:tcBorders>
            <w:vAlign w:val="bottom"/>
          </w:tcPr>
          <w:p>
            <w:pPr>
              <w:jc w:val="right"/>
            </w:pPr>
            <w:r>
              <w:rPr>
                <w:rFonts w:ascii="仿宋" w:hAnsi="仿宋" w:cs="仿宋" w:eastAsia="仿宋"/>
              </w:rPr>
              <w:t>单位：万元</w:t>
            </w:r>
          </w:p>
        </w:tc>
        <w:tc>
          <w:tcPr>
            <w:tcW w:w="970" w:type="dxa"/>
            <w:hMerge w:val="continue"/>
            <w:tcBorders>
              <w:top w:sz="10" w:color="FFFFFF" w:val="single"/>
              <w:left w:sz="10" w:color="FFFFFF" w:val="single"/>
              <w:bottom w:sz="10" w:color="000000" w:val="single"/>
              <w:right w:sz="10" w:color="FFFFFF" w:val="single"/>
            </w:tcBorders>
          </w:tcPr>
          <w:p>
            <w:r>
              <w:t/>
            </w:r>
          </w:p>
        </w:tc>
      </w:tr>
      <w:tr>
        <w:trPr>
          <w:cantSplit/>
        </w:trPr>
        <w:tc>
          <w:tcPr>
            <w:tcW w:w="1265"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w:t>
            </w:r>
          </w:p>
        </w:tc>
        <w:tc>
          <w:tcPr>
            <w:tcW w:w="3464" w:type="dxa"/>
            <w:hMerge w:val="continue"/>
            <w:tcBorders>
              <w:top w:sz="10" w:color="000000" w:val="single"/>
              <w:left w:sz="10" w:color="000000" w:val="single"/>
              <w:bottom w:sz="10" w:color="000000" w:val="single"/>
              <w:right w:sz="10" w:color="000000" w:val="single"/>
            </w:tcBorders>
          </w:tcPr>
          <w:p>
            <w:r>
              <w:t/>
            </w:r>
          </w:p>
        </w:tc>
        <w:tc>
          <w:tcPr>
            <w:tcW w:w="1207"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532"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基本支出</w:t>
            </w:r>
          </w:p>
        </w:tc>
        <w:tc>
          <w:tcPr>
            <w:tcW w:w="532" w:type="dxa"/>
            <w:hMerge w:val="continue"/>
            <w:tcBorders>
              <w:top w:sz="10" w:color="000000" w:val="single"/>
              <w:left w:sz="10" w:color="000000" w:val="single"/>
              <w:bottom w:sz="10" w:color="000000" w:val="single"/>
              <w:right w:sz="10" w:color="000000" w:val="single"/>
            </w:tcBorders>
          </w:tcPr>
          <w:p>
            <w:r>
              <w:t/>
            </w:r>
          </w:p>
        </w:tc>
        <w:tc>
          <w:tcPr>
            <w:tcW w:w="1057" w:type="dxa"/>
            <w:hMerge w:val="continue"/>
            <w:tcBorders>
              <w:top w:sz="10" w:color="000000" w:val="single"/>
              <w:left w:sz="10" w:color="000000" w:val="single"/>
              <w:bottom w:sz="10" w:color="000000" w:val="single"/>
              <w:right w:sz="10" w:color="000000" w:val="single"/>
            </w:tcBorders>
          </w:tcPr>
          <w:p>
            <w:r>
              <w:t/>
            </w:r>
          </w:p>
        </w:tc>
        <w:tc>
          <w:tcPr>
            <w:tcW w:w="970"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项目支出</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科目编码</w:t>
            </w:r>
          </w:p>
        </w:tc>
        <w:tc>
          <w:tcPr>
            <w:tcW w:w="3464"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科目名称</w:t>
            </w:r>
          </w:p>
        </w:tc>
        <w:tc>
          <w:tcPr>
            <w:tcW w:w="1207" w:type="dxa"/>
            <w:vMerge w:val="continue"/>
            <w:tcBorders>
              <w:top w:sz="10" w:color="000000" w:val="single"/>
              <w:left w:sz="10" w:color="000000" w:val="single"/>
              <w:bottom w:sz="10" w:color="000000" w:val="single"/>
              <w:right w:sz="10" w:color="000000" w:val="single"/>
            </w:tcBorders>
          </w:tcPr>
          <w:p>
            <w:r>
              <w:t/>
            </w:r>
          </w:p>
        </w:tc>
        <w:tc>
          <w:tcPr>
            <w:tcW w:w="53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53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人员经费</w:t>
            </w:r>
          </w:p>
        </w:tc>
        <w:tc>
          <w:tcPr>
            <w:tcW w:w="1057"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公用经费</w:t>
            </w:r>
          </w:p>
        </w:tc>
        <w:tc>
          <w:tcPr>
            <w:tcW w:w="970" w:type="dxa"/>
            <w:vMerge w:val="continue"/>
            <w:tcBorders>
              <w:top w:sz="10" w:color="000000" w:val="single"/>
              <w:left w:sz="10" w:color="000000" w:val="single"/>
              <w:bottom w:sz="10" w:color="000000" w:val="single"/>
              <w:right w:sz="10" w:color="000000" w:val="single"/>
            </w:tcBorders>
          </w:tcPr>
          <w:p>
            <w:r>
              <w:t/>
            </w:r>
          </w:p>
        </w:tc>
      </w:tr>
      <w:tr>
        <w:trPr>
          <w:cantSplit/>
        </w:trPr>
        <w:tc>
          <w:tcPr>
            <w:tcW w:w="1265"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3464" w:type="dxa"/>
            <w:hMerge w:val="continue"/>
            <w:tcBorders>
              <w:top w:sz="10" w:color="000000" w:val="single"/>
              <w:left w:sz="10" w:color="000000" w:val="single"/>
              <w:bottom w:sz="10" w:color="000000" w:val="single"/>
              <w:right w:sz="10" w:color="000000" w:val="single"/>
            </w:tcBorders>
          </w:tcPr>
          <w:p>
            <w:r>
              <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26611.60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15267.69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13164.44</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2103.28</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11343.90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一般公共服务支出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6191.07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4027.02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3138.00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889.02</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2164.05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人大事务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2010108</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代表工作</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政府办公厅（室）及相关机构事务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5346.66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3502.85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2613.84</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889.02</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1843.80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2010301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行政运行（政府办公厅（室）及相关机构事务）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5285.66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3502.85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2613.84</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889.02</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1782.80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2010399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其他政府办公厅（室）及相关机构事务支出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20105</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统计信息事务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2010507</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专项普查活动</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党委办公厅（室）及相关机构事务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2013102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一般行政管理事务（党委办公厅（室）及相关机构事务）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组织事务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97.18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66.10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行政运行（组织事务）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一般行政管理事务（组织事务）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64.45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64.45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2013299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其他组织事务支出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31.08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20138</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市场监督管理事务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57.28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57.28</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2013816</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食品安全监管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17.28</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2013850</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事业运行（市场监督管理事务）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社会工作事务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600.25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493.08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493.08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107.17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2013904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专项业务（社会工作事务）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25.07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12.10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12.97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2013950</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事业运行（社会工作事务）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575.18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480.98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480.98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94.20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公共安全支出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907.85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329.39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289.36</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40.03</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578.47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公安</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2040299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其他公安支出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12.83</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其他公共安全支出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895.03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329.39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289.36</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40.03</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565.64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2049999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其他公共安全支出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895.03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329.39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289.36</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40.03</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565.64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教育支出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8032.99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7458.89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6822.02</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636.88</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574.10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普通教育</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7924.95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7350.85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6729.75</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621.11</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574.10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2050201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学前教育</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1065.86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924.81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756.04</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168.76</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141.05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2050202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小学教育</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6859.10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6426.05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5973.70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452.34</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433.05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成人教育</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92.27</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2050499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其他成人教育支出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92.27</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20508</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进修及培训</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2050803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培训支出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206</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科学技术支出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20607</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科学技术普及</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2060799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其他科学技术普及支出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文化旅游体育与传媒支出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52.63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52.63</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文化和旅游</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50.88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50.88</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2070109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群众文化</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20.62</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2070199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其他文化和旅游支出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30.26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30.26</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20706</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新闻出版电影</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2070699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其他新闻出版电影支出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社会保障和就业支出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1430.76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1399.21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1108.45</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290.77</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31.55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人力资源和社会保障管理事务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33.11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8.56</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24.55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2080199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其他人力资源和社会保障管理事务支出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33.11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8.56</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8.56</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24.55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民政管理事务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704.89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704.89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418.03</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286.86</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2080201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行政运行（民政管理事务）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684.78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684.78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397.92</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286.86</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2080206</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社会组织管理</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行政事业单位养老支出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487.18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487.18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487.18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行政单位离退休</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8.89</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事业单位离退休</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27.09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27.09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27.09</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2080505</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机关事业单位基本养老保险缴费支出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300.80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300.80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300.80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2080506</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机关事业单位职业年金缴费支出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150.40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150.40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150.40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20807</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就业补助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2080701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就业创业服务补贴</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133.43</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20811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残疾人事业</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2081199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其他残疾人事业支出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21.07</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20828</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退役军人管理事务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51.09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44.09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40.18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3.91</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2082850</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事业运行（退役军人管理事务）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51.09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44.09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40.18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3.91</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卫生健康支出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1094.50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1001.30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986.91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14.40</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93.20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基层医疗卫生机构</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848.97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775.41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761.01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14.40</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73.56</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城市社区卫生机构</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乡镇卫生院</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775.41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775.41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761.01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14.40</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2100399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其他基层医疗卫生机构支出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72.54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72.54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公共卫生</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2100408</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基本公共卫生服务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11.59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11.59</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2100409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重大公共卫生服务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2100499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其他公共卫生支出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0.15</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0.15</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行政事业单位医疗</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225.90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225.90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225.90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行政单位医疗</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78.31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事业单位医疗</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119.10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119.10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119.10</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公务员医疗补助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2101199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其他行政事业单位医疗支出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13.58</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节能环保支出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1663.87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1663.87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污染防治</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1650.87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1650.87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大气</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水体</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固体废弃物与化学品</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288.74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288.74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2110399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其他污染防治支出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312.13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312.13</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其他节能环保支出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2119999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其他节能环保支出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593.21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324.24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300.92</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23.32</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268.97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城乡社区管理事务</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334.24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324.24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300.92</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23.32</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2120104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城管执法</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334.24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324.24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300.92</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23.32</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城乡社区公共设施</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2120399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其他城乡社区公共设施支出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农林水支出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6632.69</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727.64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518.78</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208.86</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5905.06</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农业农村</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4275.27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646.87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438.01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208.86</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3628.40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事业运行（农业农村）</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3447.44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646.87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438.01</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208.86</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2800.57</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2130135</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农业生态资源保护</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826.43</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826.43</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2130152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对高校毕业生到基层任职补助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21302</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林业和草原</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2130207</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森林资源管理</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农村综合改革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1574.91</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80.77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80.77</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1494.14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2130701</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对村级公益事业建设的补助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374.64</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374.64</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2130705</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对村民委员会和村党支部的补助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900.27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80.77</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80.77</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819.50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2130706</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对村集体经济组织的补助</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229</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22904</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其他政府性基金及对应专项债务收入安排的支出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r>
      <w:tr>
        <w:trPr>
          <w:cantSplit/>
        </w:trPr>
        <w:tc>
          <w:tcPr>
            <w:tcW w:w="126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2290403</w:t>
            </w:r>
          </w:p>
        </w:tc>
        <w:tc>
          <w:tcPr>
            <w:tcW w:w="3464"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其他政府性基金债务收入安排的支出</w:t>
            </w:r>
          </w:p>
        </w:tc>
        <w:tc>
          <w:tcPr>
            <w:tcW w:w="120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5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97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r>
    </w:tbl>
    <w:p>
      <w:pPr>
        <w:sectPr>
          <w:headerReference w:type="default" r:id="rId10"/>
          <w:footerReference w:type="default" r:id="rId11"/>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Height w:val="225"/>
        </w:trPr>
        <w:tc>
          <w:tcPr>
            <w:tcW w:w="1730" w:type="dxa"/>
            <w:hMerge w:val="restart"/>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预算公开表6</w:t>
            </w:r>
          </w:p>
        </w:tc>
        <w:tc>
          <w:tcPr>
            <w:tcW w:w="3225" w:type="dxa"/>
            <w:hMerge w:val="continue"/>
            <w:tcBorders>
              <w:top w:sz="10" w:color="FFFFFF" w:val="single"/>
              <w:left w:sz="10" w:color="FFFFFF" w:val="single"/>
              <w:bottom w:sz="10" w:color="FFFFFF" w:val="single"/>
              <w:right w:sz="10" w:color="FFFFFF" w:val="single"/>
            </w:tcBorders>
          </w:tcPr>
          <w:p>
            <w:r>
              <w:t/>
            </w:r>
          </w:p>
        </w:tc>
        <w:tc>
          <w:tcPr>
            <w:tcW w:w="1424" w:type="dxa"/>
            <w:hMerge w:val="continue"/>
            <w:tcBorders>
              <w:top w:sz="10" w:color="FFFFFF" w:val="single"/>
              <w:left w:sz="10" w:color="FFFFFF" w:val="single"/>
              <w:bottom w:sz="10" w:color="FFFFFF" w:val="single"/>
              <w:right w:sz="10" w:color="FFFFFF" w:val="single"/>
            </w:tcBorders>
          </w:tcPr>
          <w:p>
            <w:r>
              <w:t/>
            </w:r>
          </w:p>
        </w:tc>
        <w:tc>
          <w:tcPr>
            <w:tcW w:w="1312" w:type="dxa"/>
            <w:hMerge w:val="continue"/>
            <w:tcBorders>
              <w:top w:sz="10" w:color="FFFFFF" w:val="single"/>
              <w:left w:sz="10" w:color="FFFFFF" w:val="single"/>
              <w:bottom w:sz="10" w:color="FFFFFF" w:val="single"/>
              <w:right w:sz="10" w:color="FFFFFF" w:val="single"/>
            </w:tcBorders>
          </w:tcPr>
          <w:p>
            <w:r>
              <w:t/>
            </w:r>
          </w:p>
        </w:tc>
        <w:tc>
          <w:tcPr>
            <w:tcW w:w="1336" w:type="dxa"/>
            <w:hMerge w:val="continue"/>
            <w:tcBorders>
              <w:top w:sz="10" w:color="FFFFFF" w:val="single"/>
              <w:left w:sz="10" w:color="FFFFFF" w:val="single"/>
              <w:bottom w:sz="10" w:color="FFFFFF" w:val="single"/>
              <w:right w:sz="10" w:color="FFFFFF" w:val="single"/>
            </w:tcBorders>
          </w:tcPr>
          <w:p>
            <w:r>
              <w:t/>
            </w:r>
          </w:p>
        </w:tc>
      </w:tr>
      <w:tr>
        <w:trPr>
          <w:cantSplit/>
          <w:trHeight w:val="225"/>
        </w:trPr>
        <w:tc>
          <w:tcPr>
            <w:tcW w:w="1730"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六、一般公共预算基本支出情况表</w:t>
            </w:r>
          </w:p>
        </w:tc>
        <w:tc>
          <w:tcPr>
            <w:tcW w:w="3225" w:type="dxa"/>
            <w:hMerge w:val="continue"/>
            <w:tcBorders>
              <w:top w:sz="10" w:color="FFFFFF" w:val="single"/>
              <w:left w:sz="10" w:color="FFFFFF" w:val="single"/>
              <w:bottom w:sz="10" w:color="FFFFFF" w:val="single"/>
              <w:right w:sz="10" w:color="FFFFFF" w:val="single"/>
            </w:tcBorders>
          </w:tcPr>
          <w:p>
            <w:r>
              <w:t/>
            </w:r>
          </w:p>
        </w:tc>
        <w:tc>
          <w:tcPr>
            <w:tcW w:w="1424" w:type="dxa"/>
            <w:hMerge w:val="continue"/>
            <w:tcBorders>
              <w:top w:sz="10" w:color="FFFFFF" w:val="single"/>
              <w:left w:sz="10" w:color="FFFFFF" w:val="single"/>
              <w:bottom w:sz="10" w:color="FFFFFF" w:val="single"/>
              <w:right w:sz="10" w:color="FFFFFF" w:val="single"/>
            </w:tcBorders>
          </w:tcPr>
          <w:p>
            <w:r>
              <w:t/>
            </w:r>
          </w:p>
        </w:tc>
        <w:tc>
          <w:tcPr>
            <w:tcW w:w="1312" w:type="dxa"/>
            <w:hMerge w:val="continue"/>
            <w:tcBorders>
              <w:top w:sz="10" w:color="FFFFFF" w:val="single"/>
              <w:left w:sz="10" w:color="FFFFFF" w:val="single"/>
              <w:bottom w:sz="10" w:color="FFFFFF" w:val="single"/>
              <w:right w:sz="10" w:color="FFFFFF" w:val="single"/>
            </w:tcBorders>
          </w:tcPr>
          <w:p>
            <w:r>
              <w:t/>
            </w:r>
          </w:p>
        </w:tc>
        <w:tc>
          <w:tcPr>
            <w:tcW w:w="1336" w:type="dxa"/>
            <w:hMerge w:val="continue"/>
            <w:tcBorders>
              <w:top w:sz="10" w:color="FFFFFF" w:val="single"/>
              <w:left w:sz="10" w:color="FFFFFF" w:val="single"/>
              <w:bottom w:sz="10" w:color="FFFFFF" w:val="single"/>
              <w:right w:sz="10" w:color="FFFFFF" w:val="single"/>
            </w:tcBorders>
          </w:tcPr>
          <w:p>
            <w:r>
              <w:t/>
            </w:r>
          </w:p>
        </w:tc>
      </w:tr>
      <w:tr>
        <w:trPr>
          <w:cantSplit/>
          <w:trHeight w:val="225"/>
        </w:trPr>
        <w:tc>
          <w:tcPr>
            <w:tcW w:w="1730" w:type="dxa"/>
            <w:hMerge w:val="restart"/>
            <w:tcBorders>
              <w:top w:sz="10" w:color="FFFFFF" w:val="single"/>
              <w:left w:sz="10" w:color="FFFFFF" w:val="single"/>
              <w:bottom w:sz="10" w:color="000000" w:val="single"/>
              <w:right w:sz="10" w:color="FFFFFF" w:val="single"/>
            </w:tcBorders>
            <w:vAlign w:val="center"/>
          </w:tcPr>
          <w:p>
            <w:pPr>
              <w:jc w:val="left"/>
            </w:pPr>
            <w:r>
              <w:rPr>
                <w:rFonts w:ascii="宋体" w:hAnsi="宋体" w:cs="宋体" w:eastAsia="宋体"/>
              </w:rPr>
              <w:t>部门名称：天津市西青区王稳庄镇人民政府</w:t>
            </w:r>
          </w:p>
        </w:tc>
        <w:tc>
          <w:tcPr>
            <w:tcW w:w="3225" w:type="dxa"/>
            <w:hMerge w:val="continue"/>
            <w:tcBorders>
              <w:top w:sz="10" w:color="FFFFFF" w:val="single"/>
              <w:left w:sz="10" w:color="FFFFFF" w:val="single"/>
              <w:bottom w:sz="10" w:color="000000" w:val="single"/>
              <w:right w:sz="10" w:color="FFFFFF" w:val="single"/>
            </w:tcBorders>
          </w:tcPr>
          <w:p>
            <w:r>
              <w:t/>
            </w:r>
          </w:p>
        </w:tc>
        <w:tc>
          <w:tcPr>
            <w:tcW w:w="1424" w:type="dxa"/>
            <w:hMerge w:val="continue"/>
            <w:tcBorders>
              <w:top w:sz="10" w:color="FFFFFF" w:val="single"/>
              <w:left w:sz="10" w:color="FFFFFF" w:val="single"/>
              <w:bottom w:sz="10" w:color="000000" w:val="single"/>
              <w:right w:sz="10" w:color="FFFFFF" w:val="single"/>
            </w:tcBorders>
          </w:tcPr>
          <w:p>
            <w:r>
              <w:t/>
            </w:r>
          </w:p>
        </w:tc>
        <w:tc>
          <w:tcPr>
            <w:tcW w:w="1312" w:type="dxa"/>
          </w:tcPr>
          <w:p>
            <w:pPr>
              <w:jc w:val="left"/>
            </w:pPr>
            <w:r>
              <w:t> </w:t>
            </w:r>
          </w:p>
        </w:tc>
        <w:tc>
          <w:tcPr>
            <w:tcW w:w="1336" w:type="dxa"/>
            <w:tcBorders>
              <w:top w:sz="10" w:color="FFFFFF" w:val="single"/>
              <w:left w:sz="10" w:color="FFFFFF" w:val="single"/>
              <w:bottom w:sz="10" w:color="000000" w:val="single"/>
              <w:right w:sz="10" w:color="FFFFFF" w:val="single"/>
            </w:tcBorders>
            <w:vAlign w:val="center"/>
          </w:tcPr>
          <w:p>
            <w:pPr>
              <w:jc w:val="right"/>
            </w:pPr>
            <w:r>
              <w:rPr>
                <w:rFonts w:ascii="宋体" w:hAnsi="宋体" w:cs="宋体" w:eastAsia="宋体"/>
              </w:rPr>
              <w:t>单位：万元</w:t>
            </w:r>
          </w:p>
        </w:tc>
      </w:tr>
      <w:tr>
        <w:trPr>
          <w:cantSplit/>
          <w:trHeight w:val="225"/>
        </w:trPr>
        <w:tc>
          <w:tcPr>
            <w:tcW w:w="1730"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部门预算支出经济分类</w:t>
            </w:r>
          </w:p>
        </w:tc>
        <w:tc>
          <w:tcPr>
            <w:tcW w:w="3225" w:type="dxa"/>
            <w:hMerge w:val="continue"/>
            <w:tcBorders>
              <w:top w:sz="10" w:color="000000" w:val="single"/>
              <w:left w:sz="10" w:color="000000" w:val="single"/>
              <w:bottom w:sz="10" w:color="000000" w:val="single"/>
              <w:right w:sz="10" w:color="000000" w:val="single"/>
            </w:tcBorders>
          </w:tcPr>
          <w:p>
            <w:r>
              <w:t/>
            </w:r>
          </w:p>
        </w:tc>
        <w:tc>
          <w:tcPr>
            <w:tcW w:w="1424"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2026年一般公共预算基本支出</w:t>
            </w:r>
          </w:p>
        </w:tc>
        <w:tc>
          <w:tcPr>
            <w:tcW w:w="1312" w:type="dxa"/>
            <w:hMerge w:val="continue"/>
            <w:tcBorders>
              <w:top w:sz="10" w:color="000000" w:val="single"/>
              <w:left w:sz="10" w:color="000000" w:val="single"/>
              <w:bottom w:sz="10" w:color="000000" w:val="single"/>
              <w:right w:sz="10" w:color="000000" w:val="single"/>
            </w:tcBorders>
          </w:tcPr>
          <w:p>
            <w:r>
              <w:t/>
            </w:r>
          </w:p>
        </w:tc>
        <w:tc>
          <w:tcPr>
            <w:tcW w:w="1336" w:type="dxa"/>
            <w:hMerge w:val="continue"/>
            <w:tcBorders>
              <w:top w:sz="10" w:color="000000" w:val="single"/>
              <w:left w:sz="10" w:color="000000" w:val="single"/>
              <w:bottom w:sz="10" w:color="000000" w:val="single"/>
              <w:right w:sz="10" w:color="000000" w:val="single"/>
            </w:tcBorders>
          </w:tcPr>
          <w:p>
            <w:r>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科目编码</w:t>
            </w:r>
          </w:p>
        </w:tc>
        <w:tc>
          <w:tcPr>
            <w:tcW w:w="322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科目名称</w:t>
            </w:r>
          </w:p>
        </w:tc>
        <w:tc>
          <w:tcPr>
            <w:tcW w:w="1424"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131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人员经费</w:t>
            </w:r>
          </w:p>
        </w:tc>
        <w:tc>
          <w:tcPr>
            <w:tcW w:w="1336"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公用经费</w:t>
            </w:r>
          </w:p>
        </w:tc>
      </w:tr>
      <w:tr>
        <w:trPr>
          <w:cantSplit/>
          <w:trHeight w:val="225"/>
        </w:trPr>
        <w:tc>
          <w:tcPr>
            <w:tcW w:w="1730" w:type="dxa"/>
            <w:hMerge w:val="restart"/>
            <w:tcBorders>
              <w:top w:sz="10" w:color="000000" w:val="single"/>
              <w:left w:sz="10" w:color="000000" w:val="single"/>
              <w:bottom w:sz="10" w:color="000000" w:val="single"/>
              <w:right w:sz="10" w:color="000000" w:val="single"/>
            </w:tcBorders>
            <w:vAlign w:val="center"/>
          </w:tcPr>
          <w:p>
            <w:pPr>
              <w:jc w:val="center"/>
            </w:pPr>
            <w:r>
              <w:rPr>
                <w:rFonts w:ascii="仿宋" w:hAnsi="仿宋" w:cs="仿宋" w:eastAsia="仿宋"/>
              </w:rPr>
              <w:t>合计</w:t>
            </w:r>
          </w:p>
        </w:tc>
        <w:tc>
          <w:tcPr>
            <w:tcW w:w="3225" w:type="dxa"/>
            <w:hMerge w:val="continue"/>
            <w:tcBorders>
              <w:top w:sz="10" w:color="000000" w:val="single"/>
              <w:left w:sz="10" w:color="000000" w:val="single"/>
              <w:bottom w:sz="10" w:color="000000" w:val="single"/>
              <w:right w:sz="10" w:color="000000" w:val="single"/>
            </w:tcBorders>
          </w:tcPr>
          <w:p>
            <w:r>
              <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15267.69</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13164.43</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2103.27</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工资福利支出</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12993.85</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12993.85</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30101</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基本工资</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2068.42</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2068.42</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30102</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津贴补贴</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1266.40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1266.40</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30103</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奖金</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183.23</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183.23</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30107</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绩效工资</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2017.76</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2017.76</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30108</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机关事业单位基本养老保险缴费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811.81</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811.81</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30109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职业年金缴费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405.91</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405.91</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30110</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职工基本医疗保险缴费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532.75</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532.75</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30111</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公务员医疗补助缴费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14.92</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30112</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其他社会保障缴费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31.79</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31.79</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30113</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住房公积金</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2589.44</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2589.44</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30114</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医疗费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28.30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28.30</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30199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其他工资福利支出</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3043.12</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3043.12</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商品和服务支出</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2030.90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2030.90</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30201</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办公费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263.79</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263.79</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30204</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手续费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0.03</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0.03</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30205</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水费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26.91</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26.91</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30206</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电费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215.34</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215.34</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30207</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邮电费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23.47</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23.47</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30208</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取暖费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172.23</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172.23</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30209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物业管理费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575.65</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575.65</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30211</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差旅费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42.48</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42.48</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30213</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维修(护)费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120.50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120.50</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30214</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租赁费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0.50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0.50</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30216</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培训费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7.94</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30227</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委托业务费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15.00</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30228</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工会经费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132.81</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132.81</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30231</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公务用车运行维护费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3.91</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3.91</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30239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其他交通费用</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101.50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101.50</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30299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其他商品和服务支出</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328.83</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328.83</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对个人和家庭的补助</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170.58</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170.58</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30302</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退休费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95.00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95.00</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30303</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退职(役)费</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0.44</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0.44</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30305</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生活补助</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8.36</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8.36</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30307</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医疗费补助</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14.40</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14.40</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30309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奖励金</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0.07</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0.07</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30399</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其他对个人和家庭的补助</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52.32</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52.32</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310</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资本性支出</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72.37</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72.37</w:t>
            </w:r>
          </w:p>
        </w:tc>
      </w:tr>
      <w:tr>
        <w:trPr>
          <w:cantSplit/>
          <w:trHeight w:val="225"/>
        </w:trPr>
        <w:tc>
          <w:tcPr>
            <w:tcW w:w="1730"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31002</w:t>
            </w:r>
          </w:p>
        </w:tc>
        <w:tc>
          <w:tcPr>
            <w:tcW w:w="3225"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办公设备购置</w:t>
            </w:r>
          </w:p>
        </w:tc>
        <w:tc>
          <w:tcPr>
            <w:tcW w:w="1424"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72.37</w:t>
            </w:r>
          </w:p>
        </w:tc>
        <w:tc>
          <w:tcPr>
            <w:tcW w:w="131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33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72.37</w:t>
            </w:r>
          </w:p>
        </w:tc>
      </w:tr>
    </w:tbl>
    <w:p>
      <w:pPr>
        <w:sectPr>
          <w:headerReference w:type="default" r:id="rId12"/>
          <w:footerReference w:type="default" r:id="rId13"/>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Pr>
        <w:tc>
          <w:tcPr>
            <w:tcW w:w="3363" w:type="dxa"/>
            <w:hMerge w:val="restart"/>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预算公开表7</w:t>
            </w:r>
          </w:p>
        </w:tc>
        <w:tc>
          <w:tcPr>
            <w:tcW w:w="691" w:type="dxa"/>
            <w:hMerge w:val="continue"/>
            <w:tcBorders>
              <w:top w:sz="10" w:color="FFFFFF" w:val="single"/>
              <w:left w:sz="10" w:color="FFFFFF" w:val="single"/>
              <w:bottom w:sz="10" w:color="FFFFFF" w:val="single"/>
              <w:right w:sz="10" w:color="FFFFFF" w:val="single"/>
            </w:tcBorders>
          </w:tcPr>
          <w:p>
            <w:r>
              <w:t/>
            </w:r>
          </w:p>
        </w:tc>
        <w:tc>
          <w:tcPr>
            <w:tcW w:w="1258" w:type="dxa"/>
            <w:hMerge w:val="continue"/>
            <w:tcBorders>
              <w:top w:sz="10" w:color="FFFFFF" w:val="single"/>
              <w:left w:sz="10" w:color="FFFFFF" w:val="single"/>
              <w:bottom w:sz="10" w:color="FFFFFF" w:val="single"/>
              <w:right w:sz="10" w:color="FFFFFF" w:val="single"/>
            </w:tcBorders>
          </w:tcPr>
          <w:p>
            <w:r>
              <w:t/>
            </w:r>
          </w:p>
        </w:tc>
        <w:tc>
          <w:tcPr>
            <w:tcW w:w="1165" w:type="dxa"/>
            <w:hMerge w:val="continue"/>
            <w:tcBorders>
              <w:top w:sz="10" w:color="FFFFFF" w:val="single"/>
              <w:left w:sz="10" w:color="FFFFFF" w:val="single"/>
              <w:bottom w:sz="10" w:color="FFFFFF" w:val="single"/>
              <w:right w:sz="10" w:color="FFFFFF" w:val="single"/>
            </w:tcBorders>
          </w:tcPr>
          <w:p>
            <w:r>
              <w:t/>
            </w:r>
          </w:p>
        </w:tc>
        <w:tc>
          <w:tcPr>
            <w:tcW w:w="1258" w:type="dxa"/>
            <w:hMerge w:val="continue"/>
            <w:tcBorders>
              <w:top w:sz="10" w:color="FFFFFF" w:val="single"/>
              <w:left w:sz="10" w:color="FFFFFF" w:val="single"/>
              <w:bottom w:sz="10" w:color="FFFFFF" w:val="single"/>
              <w:right w:sz="10" w:color="FFFFFF" w:val="single"/>
            </w:tcBorders>
          </w:tcPr>
          <w:p>
            <w:r>
              <w:t/>
            </w:r>
          </w:p>
        </w:tc>
        <w:tc>
          <w:tcPr>
            <w:tcW w:w="1292" w:type="dxa"/>
            <w:hMerge w:val="continue"/>
            <w:tcBorders>
              <w:top w:sz="10" w:color="FFFFFF" w:val="single"/>
              <w:left w:sz="10" w:color="FFFFFF" w:val="single"/>
              <w:bottom w:sz="10" w:color="FFFFFF" w:val="single"/>
              <w:right w:sz="10" w:color="FFFFFF" w:val="single"/>
            </w:tcBorders>
          </w:tcPr>
          <w:p>
            <w:r>
              <w:t/>
            </w:r>
          </w:p>
        </w:tc>
      </w:tr>
      <w:tr>
        <w:trPr>
          <w:cantSplit/>
        </w:trPr>
        <w:tc>
          <w:tcPr>
            <w:tcW w:w="3363"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七、一般公共预算“三公”经费支出情况表</w:t>
            </w:r>
          </w:p>
        </w:tc>
        <w:tc>
          <w:tcPr>
            <w:tcW w:w="691" w:type="dxa"/>
            <w:hMerge w:val="continue"/>
            <w:tcBorders>
              <w:top w:sz="10" w:color="FFFFFF" w:val="single"/>
              <w:left w:sz="10" w:color="FFFFFF" w:val="single"/>
              <w:bottom w:sz="10" w:color="FFFFFF" w:val="single"/>
              <w:right w:sz="10" w:color="FFFFFF" w:val="single"/>
            </w:tcBorders>
          </w:tcPr>
          <w:p>
            <w:r>
              <w:t/>
            </w:r>
          </w:p>
        </w:tc>
        <w:tc>
          <w:tcPr>
            <w:tcW w:w="1258" w:type="dxa"/>
            <w:hMerge w:val="continue"/>
            <w:tcBorders>
              <w:top w:sz="10" w:color="FFFFFF" w:val="single"/>
              <w:left w:sz="10" w:color="FFFFFF" w:val="single"/>
              <w:bottom w:sz="10" w:color="FFFFFF" w:val="single"/>
              <w:right w:sz="10" w:color="FFFFFF" w:val="single"/>
            </w:tcBorders>
          </w:tcPr>
          <w:p>
            <w:r>
              <w:t/>
            </w:r>
          </w:p>
        </w:tc>
        <w:tc>
          <w:tcPr>
            <w:tcW w:w="1165" w:type="dxa"/>
            <w:hMerge w:val="continue"/>
            <w:tcBorders>
              <w:top w:sz="10" w:color="FFFFFF" w:val="single"/>
              <w:left w:sz="10" w:color="FFFFFF" w:val="single"/>
              <w:bottom w:sz="10" w:color="FFFFFF" w:val="single"/>
              <w:right w:sz="10" w:color="FFFFFF" w:val="single"/>
            </w:tcBorders>
          </w:tcPr>
          <w:p>
            <w:r>
              <w:t/>
            </w:r>
          </w:p>
        </w:tc>
        <w:tc>
          <w:tcPr>
            <w:tcW w:w="1258" w:type="dxa"/>
            <w:hMerge w:val="continue"/>
            <w:tcBorders>
              <w:top w:sz="10" w:color="FFFFFF" w:val="single"/>
              <w:left w:sz="10" w:color="FFFFFF" w:val="single"/>
              <w:bottom w:sz="10" w:color="FFFFFF" w:val="single"/>
              <w:right w:sz="10" w:color="FFFFFF" w:val="single"/>
            </w:tcBorders>
          </w:tcPr>
          <w:p>
            <w:r>
              <w:t/>
            </w:r>
          </w:p>
        </w:tc>
        <w:tc>
          <w:tcPr>
            <w:tcW w:w="1292" w:type="dxa"/>
            <w:hMerge w:val="continue"/>
            <w:tcBorders>
              <w:top w:sz="10" w:color="FFFFFF" w:val="single"/>
              <w:left w:sz="10" w:color="FFFFFF" w:val="single"/>
              <w:bottom w:sz="10" w:color="FFFFFF" w:val="single"/>
              <w:right w:sz="10" w:color="FFFFFF" w:val="single"/>
            </w:tcBorders>
          </w:tcPr>
          <w:p>
            <w:r>
              <w:t/>
            </w:r>
          </w:p>
        </w:tc>
      </w:tr>
      <w:tr>
        <w:trPr>
          <w:cantSplit/>
        </w:trPr>
        <w:tc>
          <w:tcPr>
            <w:tcW w:w="3363" w:type="dxa"/>
            <w:hMerge w:val="restart"/>
            <w:tcBorders>
              <w:top w:sz="10" w:color="FFFFFF" w:val="single"/>
              <w:left w:sz="10" w:color="FFFFFF" w:val="single"/>
              <w:bottom w:sz="10" w:color="000000" w:val="single"/>
              <w:right w:sz="10" w:color="FFFFFF" w:val="single"/>
            </w:tcBorders>
            <w:vAlign w:val="center"/>
          </w:tcPr>
          <w:p>
            <w:pPr>
              <w:jc w:val="left"/>
            </w:pPr>
            <w:r>
              <w:rPr>
                <w:rFonts w:ascii="宋体" w:hAnsi="宋体" w:cs="宋体" w:eastAsia="宋体"/>
              </w:rPr>
              <w:t>部门名称：天津市西青区王稳庄镇人民政府</w:t>
            </w:r>
          </w:p>
        </w:tc>
        <w:tc>
          <w:tcPr>
            <w:tcW w:w="691" w:type="dxa"/>
            <w:hMerge w:val="continue"/>
            <w:tcBorders>
              <w:top w:sz="10" w:color="FFFFFF" w:val="single"/>
              <w:left w:sz="10" w:color="FFFFFF" w:val="single"/>
              <w:bottom w:sz="10" w:color="000000" w:val="single"/>
              <w:right w:sz="10" w:color="FFFFFF" w:val="single"/>
            </w:tcBorders>
          </w:tcPr>
          <w:p>
            <w:r>
              <w:t/>
            </w:r>
          </w:p>
        </w:tc>
        <w:tc>
          <w:tcPr>
            <w:tcW w:w="1258" w:type="dxa"/>
            <w:hMerge w:val="continue"/>
            <w:tcBorders>
              <w:top w:sz="10" w:color="FFFFFF" w:val="single"/>
              <w:left w:sz="10" w:color="FFFFFF" w:val="single"/>
              <w:bottom w:sz="10" w:color="000000" w:val="single"/>
              <w:right w:sz="10" w:color="FFFFFF" w:val="single"/>
            </w:tcBorders>
          </w:tcPr>
          <w:p>
            <w:r>
              <w:t/>
            </w:r>
          </w:p>
        </w:tc>
        <w:tc>
          <w:tcPr>
            <w:tcW w:w="1165" w:type="dxa"/>
            <w:hMerge w:val="continue"/>
            <w:tcBorders>
              <w:top w:sz="10" w:color="FFFFFF" w:val="single"/>
              <w:left w:sz="10" w:color="FFFFFF" w:val="single"/>
              <w:bottom w:sz="10" w:color="000000" w:val="single"/>
              <w:right w:sz="10" w:color="FFFFFF" w:val="single"/>
            </w:tcBorders>
          </w:tcPr>
          <w:p>
            <w:r>
              <w:t/>
            </w:r>
          </w:p>
        </w:tc>
        <w:tc>
          <w:tcPr>
            <w:tcW w:w="1258" w:type="dxa"/>
            <w:hMerge w:val="continue"/>
            <w:tcBorders>
              <w:top w:sz="10" w:color="FFFFFF" w:val="single"/>
              <w:left w:sz="10" w:color="FFFFFF" w:val="single"/>
              <w:bottom w:sz="10" w:color="000000" w:val="single"/>
              <w:right w:sz="10" w:color="FFFFFF" w:val="single"/>
            </w:tcBorders>
          </w:tcPr>
          <w:p>
            <w:r>
              <w:t/>
            </w:r>
          </w:p>
        </w:tc>
        <w:tc>
          <w:tcPr>
            <w:tcW w:w="1292" w:type="dxa"/>
          </w:tcPr>
          <w:p>
            <w:pPr>
              <w:jc w:val="left"/>
            </w:pPr>
            <w:r>
              <w:t> </w:t>
            </w:r>
          </w:p>
        </w:tc>
      </w:tr>
      <w:tr>
        <w:trPr>
          <w:cantSplit/>
        </w:trPr>
        <w:tc>
          <w:tcPr>
            <w:tcW w:w="3363"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“三公”经费</w:t>
              <w:br/>
              <w:t>合  计</w:t>
            </w:r>
          </w:p>
        </w:tc>
        <w:tc>
          <w:tcPr>
            <w:tcW w:w="691"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因公出国（境）费</w:t>
            </w:r>
          </w:p>
        </w:tc>
        <w:tc>
          <w:tcPr>
            <w:tcW w:w="1258"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公务用车购置及运行费</w:t>
            </w:r>
          </w:p>
        </w:tc>
        <w:tc>
          <w:tcPr>
            <w:tcW w:w="1165" w:type="dxa"/>
            <w:hMerge w:val="continue"/>
            <w:tcBorders>
              <w:top w:sz="10" w:color="000000" w:val="single"/>
              <w:left w:sz="10" w:color="000000" w:val="single"/>
              <w:bottom w:sz="10" w:color="000000" w:val="single"/>
              <w:right w:sz="10" w:color="000000" w:val="single"/>
            </w:tcBorders>
          </w:tcPr>
          <w:p>
            <w:r>
              <w:t/>
            </w:r>
          </w:p>
        </w:tc>
        <w:tc>
          <w:tcPr>
            <w:tcW w:w="1258" w:type="dxa"/>
            <w:hMerge w:val="continue"/>
            <w:tcBorders>
              <w:top w:sz="10" w:color="000000" w:val="single"/>
              <w:left w:sz="10" w:color="000000" w:val="single"/>
              <w:bottom w:sz="10" w:color="000000" w:val="single"/>
              <w:right w:sz="10" w:color="000000" w:val="single"/>
            </w:tcBorders>
          </w:tcPr>
          <w:p>
            <w:r>
              <w:t/>
            </w:r>
          </w:p>
        </w:tc>
        <w:tc>
          <w:tcPr>
            <w:tcW w:w="1292"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公务接待费</w:t>
            </w:r>
          </w:p>
        </w:tc>
      </w:tr>
      <w:tr>
        <w:trPr>
          <w:cantSplit/>
        </w:trPr>
        <w:tc>
          <w:tcPr>
            <w:tcW w:w="3363" w:type="dxa"/>
            <w:vMerge w:val="continue"/>
            <w:tcBorders>
              <w:top w:sz="10" w:color="000000" w:val="single"/>
              <w:left w:sz="10" w:color="000000" w:val="single"/>
              <w:bottom w:sz="10" w:color="000000" w:val="single"/>
              <w:right w:sz="10" w:color="000000" w:val="single"/>
            </w:tcBorders>
          </w:tcPr>
          <w:p>
            <w:r>
              <w:t/>
            </w:r>
          </w:p>
        </w:tc>
        <w:tc>
          <w:tcPr>
            <w:tcW w:w="691" w:type="dxa"/>
            <w:vMerge w:val="continue"/>
            <w:tcBorders>
              <w:top w:sz="10" w:color="000000" w:val="single"/>
              <w:left w:sz="10" w:color="000000" w:val="single"/>
              <w:bottom w:sz="10" w:color="000000" w:val="single"/>
              <w:right w:sz="10" w:color="000000" w:val="single"/>
            </w:tcBorders>
          </w:tcPr>
          <w:p>
            <w:r>
              <w:t/>
            </w:r>
          </w:p>
        </w:tc>
        <w:tc>
          <w:tcPr>
            <w:tcW w:w="1258"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小计</w:t>
            </w:r>
          </w:p>
        </w:tc>
        <w:tc>
          <w:tcPr>
            <w:tcW w:w="116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公务用车购置费</w:t>
            </w:r>
          </w:p>
        </w:tc>
        <w:tc>
          <w:tcPr>
            <w:tcW w:w="1258"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公务用车运行费</w:t>
            </w:r>
          </w:p>
        </w:tc>
        <w:tc>
          <w:tcPr>
            <w:tcW w:w="1292" w:type="dxa"/>
            <w:vMerge w:val="continue"/>
            <w:tcBorders>
              <w:top w:sz="10" w:color="000000" w:val="single"/>
              <w:left w:sz="10" w:color="000000" w:val="single"/>
              <w:bottom w:sz="10" w:color="000000" w:val="single"/>
              <w:right w:sz="10" w:color="000000" w:val="single"/>
            </w:tcBorders>
          </w:tcPr>
          <w:p>
            <w:r>
              <w:t/>
            </w:r>
          </w:p>
        </w:tc>
      </w:tr>
      <w:tr>
        <w:trPr>
          <w:cantSplit/>
        </w:trPr>
        <w:tc>
          <w:tcPr>
            <w:tcW w:w="336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3.91</w:t>
            </w:r>
          </w:p>
        </w:tc>
        <w:tc>
          <w:tcPr>
            <w:tcW w:w="69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   </w:t>
            </w:r>
          </w:p>
        </w:tc>
        <w:tc>
          <w:tcPr>
            <w:tcW w:w="12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3.91</w:t>
            </w:r>
          </w:p>
        </w:tc>
        <w:tc>
          <w:tcPr>
            <w:tcW w:w="116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258"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3.91</w:t>
            </w:r>
          </w:p>
        </w:tc>
        <w:tc>
          <w:tcPr>
            <w:tcW w:w="129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bl>
    <w:p>
      <w:pPr>
        <w:sectPr>
          <w:headerReference w:type="default" r:id="rId14"/>
          <w:footerReference w:type="default" r:id="rId15"/>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Pr>
        <w:tc>
          <w:tcPr>
            <w:tcW w:w="2128"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3718" w:type="dxa"/>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   </w:t>
            </w:r>
          </w:p>
        </w:tc>
        <w:tc>
          <w:tcPr>
            <w:tcW w:w="1060" w:type="dxa"/>
            <w:tcBorders>
              <w:top w:sz="10" w:color="FFFFFF" w:val="single"/>
              <w:left w:sz="10" w:color="FFFFFF" w:val="single"/>
              <w:bottom w:sz="10" w:color="FFFFFF" w:val="single"/>
              <w:right w:sz="10" w:color="FFFFFF" w:val="single"/>
            </w:tcBorders>
            <w:vAlign w:val="top"/>
          </w:tcPr>
          <w:p>
            <w:pPr>
              <w:jc w:val="left"/>
            </w:pPr>
            <w:r>
              <w:rPr>
                <w:rFonts w:ascii="仿宋" w:hAnsi="仿宋" w:cs="仿宋" w:eastAsia="仿宋"/>
              </w:rPr>
              <w:t>   </w:t>
            </w:r>
          </w:p>
        </w:tc>
        <w:tc>
          <w:tcPr>
            <w:tcW w:w="1060" w:type="dxa"/>
            <w:tcBorders>
              <w:top w:sz="10" w:color="FFFFFF" w:val="single"/>
              <w:left w:sz="10" w:color="FFFFFF" w:val="single"/>
              <w:bottom w:sz="10" w:color="FFFFFF" w:val="single"/>
              <w:right w:sz="10" w:color="FFFFFF" w:val="single"/>
            </w:tcBorders>
            <w:vAlign w:val="top"/>
          </w:tcPr>
          <w:p>
            <w:pPr>
              <w:jc w:val="left"/>
            </w:pPr>
            <w:r>
              <w:rPr>
                <w:rFonts w:ascii="仿宋" w:hAnsi="仿宋" w:cs="仿宋" w:eastAsia="仿宋"/>
              </w:rPr>
              <w:t>   </w:t>
            </w:r>
          </w:p>
        </w:tc>
        <w:tc>
          <w:tcPr>
            <w:tcW w:w="1061" w:type="dxa"/>
            <w:tcBorders>
              <w:top w:sz="10" w:color="FFFFFF" w:val="single"/>
              <w:left w:sz="10" w:color="FFFFFF" w:val="single"/>
              <w:bottom w:sz="10" w:color="FFFFFF" w:val="single"/>
              <w:right w:sz="10" w:color="FFFFFF" w:val="single"/>
            </w:tcBorders>
            <w:vAlign w:val="center"/>
          </w:tcPr>
          <w:p>
            <w:pPr>
              <w:jc w:val="right"/>
            </w:pPr>
            <w:r>
              <w:rPr>
                <w:rFonts w:ascii="宋体" w:hAnsi="宋体" w:cs="宋体" w:eastAsia="宋体"/>
              </w:rPr>
              <w:t>预算公开表8</w:t>
            </w:r>
          </w:p>
        </w:tc>
      </w:tr>
      <w:tr>
        <w:trPr>
          <w:cantSplit/>
        </w:trPr>
        <w:tc>
          <w:tcPr>
            <w:tcW w:w="2128" w:type="dxa"/>
            <w:hMerge w:val="restart"/>
            <w:tcBorders>
              <w:top w:sz="10" w:color="FFFFFF" w:val="single"/>
              <w:left w:sz="10" w:color="FFFFFF" w:val="single"/>
              <w:bottom w:sz="10" w:color="FFFFFF" w:val="single"/>
              <w:right w:sz="10" w:color="FFFFFF" w:val="single"/>
            </w:tcBorders>
            <w:vAlign w:val="center"/>
          </w:tcPr>
          <w:p>
            <w:pPr>
              <w:jc w:val="center"/>
            </w:pPr>
            <w:r>
              <w:rPr>
                <w:rFonts w:ascii="仿宋" w:hAnsi="仿宋" w:cs="仿宋" w:eastAsia="仿宋"/>
              </w:rPr>
              <w:t>八、政府性基金预算支出情况表</w:t>
            </w:r>
          </w:p>
        </w:tc>
        <w:tc>
          <w:tcPr>
            <w:tcW w:w="3718" w:type="dxa"/>
            <w:hMerge w:val="continue"/>
            <w:tcBorders>
              <w:top w:sz="10" w:color="FFFFFF" w:val="single"/>
              <w:left w:sz="10" w:color="FFFFFF" w:val="single"/>
              <w:bottom w:sz="10" w:color="FFFFFF" w:val="single"/>
              <w:right w:sz="10" w:color="FFFFFF" w:val="single"/>
            </w:tcBorders>
          </w:tcPr>
          <w:p>
            <w:r>
              <w:t/>
            </w:r>
          </w:p>
        </w:tc>
        <w:tc>
          <w:tcPr>
            <w:tcW w:w="1060" w:type="dxa"/>
            <w:hMerge w:val="continue"/>
            <w:tcBorders>
              <w:top w:sz="10" w:color="FFFFFF" w:val="single"/>
              <w:left w:sz="10" w:color="FFFFFF" w:val="single"/>
              <w:bottom w:sz="10" w:color="FFFFFF" w:val="single"/>
              <w:right w:sz="10" w:color="FFFFFF" w:val="single"/>
            </w:tcBorders>
          </w:tcPr>
          <w:p>
            <w:r>
              <w:t/>
            </w:r>
          </w:p>
        </w:tc>
        <w:tc>
          <w:tcPr>
            <w:tcW w:w="1060" w:type="dxa"/>
            <w:hMerge w:val="continue"/>
            <w:tcBorders>
              <w:top w:sz="10" w:color="FFFFFF" w:val="single"/>
              <w:left w:sz="10" w:color="FFFFFF" w:val="single"/>
              <w:bottom w:sz="10" w:color="FFFFFF" w:val="single"/>
              <w:right w:sz="10" w:color="FFFFFF" w:val="single"/>
            </w:tcBorders>
          </w:tcPr>
          <w:p>
            <w:r>
              <w:t/>
            </w:r>
          </w:p>
        </w:tc>
        <w:tc>
          <w:tcPr>
            <w:tcW w:w="1061" w:type="dxa"/>
            <w:hMerge w:val="continue"/>
            <w:tcBorders>
              <w:top w:sz="10" w:color="FFFFFF" w:val="single"/>
              <w:left w:sz="10" w:color="FFFFFF" w:val="single"/>
              <w:bottom w:sz="10" w:color="FFFFFF" w:val="single"/>
              <w:right w:sz="10" w:color="FFFFFF" w:val="single"/>
            </w:tcBorders>
          </w:tcPr>
          <w:p>
            <w:r>
              <w:t/>
            </w:r>
          </w:p>
        </w:tc>
      </w:tr>
      <w:tr>
        <w:trPr>
          <w:cantSplit/>
        </w:trPr>
        <w:tc>
          <w:tcPr>
            <w:tcW w:w="2128" w:type="dxa"/>
            <w:hMerge w:val="restart"/>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部门名称：天津市西青区王稳庄镇人民政府</w:t>
            </w:r>
          </w:p>
        </w:tc>
        <w:tc>
          <w:tcPr>
            <w:tcW w:w="3718" w:type="dxa"/>
            <w:hMerge w:val="continue"/>
            <w:tcBorders>
              <w:top w:sz="10" w:color="FFFFFF" w:val="single"/>
              <w:left w:sz="10" w:color="FFFFFF" w:val="single"/>
              <w:bottom w:sz="10" w:color="000000" w:val="single"/>
              <w:right w:sz="10" w:color="FFFFFF" w:val="single"/>
            </w:tcBorders>
          </w:tcPr>
          <w:p>
            <w:r>
              <w:t/>
            </w:r>
          </w:p>
        </w:tc>
        <w:tc>
          <w:tcPr>
            <w:tcW w:w="1060" w:type="dxa"/>
            <w:tcBorders>
              <w:top w:sz="10" w:color="FFFFFF" w:val="single"/>
              <w:left w:sz="10" w:color="FFFFFF" w:val="single"/>
              <w:bottom w:sz="10" w:color="000000" w:val="single"/>
              <w:right w:sz="10" w:color="FFFFFF" w:val="single"/>
            </w:tcBorders>
            <w:vAlign w:val="top"/>
          </w:tcPr>
          <w:p>
            <w:pPr>
              <w:jc w:val="left"/>
            </w:pPr>
            <w:r>
              <w:rPr>
                <w:rFonts w:ascii="仿宋" w:hAnsi="仿宋" w:cs="仿宋" w:eastAsia="仿宋"/>
              </w:rPr>
              <w:t>   </w:t>
            </w:r>
          </w:p>
        </w:tc>
        <w:tc>
          <w:tcPr>
            <w:tcW w:w="1060" w:type="dxa"/>
            <w:tcBorders>
              <w:top w:sz="10" w:color="FFFFFF" w:val="single"/>
              <w:left w:sz="10" w:color="FFFFFF" w:val="single"/>
              <w:bottom w:sz="10" w:color="000000" w:val="single"/>
              <w:right w:sz="10" w:color="FFFFFF" w:val="single"/>
            </w:tcBorders>
            <w:vAlign w:val="top"/>
          </w:tcPr>
          <w:p>
            <w:pPr>
              <w:jc w:val="left"/>
            </w:pPr>
            <w:r>
              <w:rPr>
                <w:rFonts w:ascii="仿宋" w:hAnsi="仿宋" w:cs="仿宋" w:eastAsia="仿宋"/>
              </w:rPr>
              <w:t>   </w:t>
            </w:r>
          </w:p>
        </w:tc>
        <w:tc>
          <w:tcPr>
            <w:tcW w:w="1061" w:type="dxa"/>
            <w:tcBorders>
              <w:top w:sz="10" w:color="FFFFFF" w:val="single"/>
              <w:left w:sz="10" w:color="FFFFFF" w:val="single"/>
              <w:bottom w:sz="10" w:color="000000" w:val="single"/>
              <w:right w:sz="10" w:color="FFFFFF" w:val="single"/>
            </w:tcBorders>
            <w:vAlign w:val="center"/>
          </w:tcPr>
          <w:p>
            <w:pPr>
              <w:jc w:val="right"/>
            </w:pPr>
            <w:r>
              <w:rPr>
                <w:rFonts w:ascii="仿宋" w:hAnsi="仿宋" w:cs="仿宋" w:eastAsia="仿宋"/>
              </w:rPr>
              <w:t>单位:万元</w:t>
            </w:r>
          </w:p>
        </w:tc>
      </w:tr>
      <w:tr>
        <w:trPr>
          <w:cantSplit/>
        </w:trPr>
        <w:tc>
          <w:tcPr>
            <w:tcW w:w="2128"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科目编码</w:t>
            </w:r>
          </w:p>
        </w:tc>
        <w:tc>
          <w:tcPr>
            <w:tcW w:w="3718"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科目名称</w:t>
            </w:r>
          </w:p>
        </w:tc>
        <w:tc>
          <w:tcPr>
            <w:tcW w:w="1060"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本年政府性基金预算支出</w:t>
            </w:r>
          </w:p>
        </w:tc>
        <w:tc>
          <w:tcPr>
            <w:tcW w:w="1060" w:type="dxa"/>
            <w:hMerge w:val="continue"/>
            <w:tcBorders>
              <w:top w:sz="10" w:color="000000" w:val="single"/>
              <w:left w:sz="10" w:color="000000" w:val="single"/>
              <w:bottom w:sz="10" w:color="000000" w:val="single"/>
              <w:right w:sz="10" w:color="000000" w:val="single"/>
            </w:tcBorders>
          </w:tcPr>
          <w:p>
            <w:r>
              <w:t/>
            </w:r>
          </w:p>
        </w:tc>
        <w:tc>
          <w:tcPr>
            <w:tcW w:w="1061" w:type="dxa"/>
            <w:hMerge w:val="continue"/>
            <w:tcBorders>
              <w:top w:sz="10" w:color="000000" w:val="single"/>
              <w:left w:sz="10" w:color="000000" w:val="single"/>
              <w:bottom w:sz="10" w:color="000000" w:val="single"/>
              <w:right w:sz="10" w:color="000000" w:val="single"/>
            </w:tcBorders>
          </w:tcPr>
          <w:p>
            <w:r>
              <w:t/>
            </w:r>
          </w:p>
        </w:tc>
      </w:tr>
      <w:tr>
        <w:trPr>
          <w:cantSplit/>
        </w:trPr>
        <w:tc>
          <w:tcPr>
            <w:tcW w:w="2128" w:type="dxa"/>
            <w:vMerge w:val="continue"/>
            <w:tcBorders>
              <w:top w:sz="10" w:color="000000" w:val="single"/>
              <w:left w:sz="10" w:color="000000" w:val="single"/>
              <w:bottom w:sz="10" w:color="000000" w:val="single"/>
              <w:right w:sz="10" w:color="000000" w:val="single"/>
            </w:tcBorders>
          </w:tcPr>
          <w:p>
            <w:r>
              <w:t/>
            </w:r>
          </w:p>
        </w:tc>
        <w:tc>
          <w:tcPr>
            <w:tcW w:w="3718" w:type="dxa"/>
            <w:vMerge w:val="continue"/>
            <w:tcBorders>
              <w:top w:sz="10" w:color="000000" w:val="single"/>
              <w:left w:sz="10" w:color="000000" w:val="single"/>
              <w:bottom w:sz="10" w:color="000000" w:val="single"/>
              <w:right w:sz="10" w:color="000000" w:val="single"/>
            </w:tcBorders>
          </w:tcPr>
          <w:p>
            <w:r>
              <w:t/>
            </w:r>
          </w:p>
        </w:tc>
        <w:tc>
          <w:tcPr>
            <w:tcW w:w="106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1060"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基本支出</w:t>
            </w:r>
          </w:p>
        </w:tc>
        <w:tc>
          <w:tcPr>
            <w:tcW w:w="106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项目支出</w:t>
            </w:r>
          </w:p>
        </w:tc>
      </w:tr>
      <w:tr>
        <w:trPr>
          <w:cantSplit/>
        </w:trPr>
        <w:tc>
          <w:tcPr>
            <w:tcW w:w="2128"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3718" w:type="dxa"/>
            <w:hMerge w:val="continue"/>
            <w:tcBorders>
              <w:top w:sz="10" w:color="000000" w:val="single"/>
              <w:left w:sz="10" w:color="000000" w:val="single"/>
              <w:bottom w:sz="10" w:color="000000" w:val="single"/>
              <w:right w:sz="10" w:color="000000" w:val="single"/>
            </w:tcBorders>
          </w:tcPr>
          <w:p>
            <w:r>
              <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944.99</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944.99</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卫生健康支出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21098</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超长期特别国债安排的支出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2109899</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其他卫生健康</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城乡社区支出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804.03</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804.03</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21208</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国有土地使用权出让收入安排的支出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804.03</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804.03</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2120804</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农村基础设施建设支出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764.36</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764.36</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2120816</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农业农村生态环境支出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39.68</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39.68</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农林水支出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21372</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大中型水库移民后期扶持基金支出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r>
      <w:tr>
        <w:trPr>
          <w:cantSplit/>
        </w:trPr>
        <w:tc>
          <w:tcPr>
            <w:tcW w:w="212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2137202</w:t>
            </w:r>
          </w:p>
        </w:tc>
        <w:tc>
          <w:tcPr>
            <w:tcW w:w="3718"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基础设施建设和经济发展（大中型水库移民后期扶持基金支出）</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106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06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r>
    </w:tbl>
    <w:p>
      <w:pPr>
        <w:sectPr>
          <w:headerReference w:type="default" r:id="rId16"/>
          <w:footerReference w:type="default" r:id="rId17"/>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Pr>
        <w:tc>
          <w:tcPr>
            <w:tcW w:w="1373" w:type="dxa"/>
            <w:tcBorders>
              <w:top w:sz="10" w:color="FFFFFF" w:val="single"/>
              <w:left w:sz="10" w:color="FFFFFF" w:val="single"/>
              <w:bottom w:sz="10" w:color="FFFFFF" w:val="single"/>
              <w:right w:sz="10" w:color="FFFFFF" w:val="single"/>
            </w:tcBorders>
            <w:vAlign w:val="bottom"/>
          </w:tcPr>
          <w:p>
            <w:pPr>
              <w:jc w:val="left"/>
            </w:pPr>
            <w:r>
              <w:rPr>
                <w:rFonts w:ascii="宋体" w:hAnsi="宋体" w:cs="宋体" w:eastAsia="宋体"/>
              </w:rPr>
              <w:t>   </w:t>
            </w:r>
          </w:p>
        </w:tc>
        <w:tc>
          <w:tcPr>
            <w:tcW w:w="2859" w:type="dxa"/>
            <w:tcBorders>
              <w:top w:sz="10" w:color="FFFFFF" w:val="single"/>
              <w:left w:sz="10" w:color="FFFFFF" w:val="single"/>
              <w:bottom w:sz="10" w:color="FFFFFF" w:val="single"/>
              <w:right w:sz="10" w:color="FFFFFF" w:val="single"/>
            </w:tcBorders>
            <w:vAlign w:val="bottom"/>
          </w:tcPr>
          <w:p>
            <w:pPr>
              <w:jc w:val="left"/>
            </w:pPr>
            <w:r>
              <w:rPr>
                <w:rFonts w:ascii="宋体" w:hAnsi="宋体" w:cs="宋体" w:eastAsia="宋体"/>
              </w:rPr>
              <w:t>   </w:t>
            </w:r>
          </w:p>
        </w:tc>
        <w:tc>
          <w:tcPr>
            <w:tcW w:w="1700" w:type="dxa"/>
            <w:tcBorders>
              <w:top w:sz="10" w:color="FFFFFF" w:val="single"/>
              <w:left w:sz="10" w:color="FFFFFF" w:val="single"/>
              <w:bottom w:sz="10" w:color="FFFFFF" w:val="single"/>
              <w:right w:sz="10" w:color="FFFFFF" w:val="single"/>
            </w:tcBorders>
            <w:vAlign w:val="bottom"/>
          </w:tcPr>
          <w:p>
            <w:pPr>
              <w:jc w:val="left"/>
            </w:pPr>
            <w:r>
              <w:rPr>
                <w:rFonts w:ascii="宋体" w:hAnsi="宋体" w:cs="宋体" w:eastAsia="宋体"/>
              </w:rPr>
              <w:t>   </w:t>
            </w:r>
          </w:p>
        </w:tc>
        <w:tc>
          <w:tcPr>
            <w:tcW w:w="1532" w:type="dxa"/>
            <w:tcBorders>
              <w:top w:sz="10" w:color="FFFFFF" w:val="single"/>
              <w:left w:sz="10" w:color="FFFFFF" w:val="single"/>
              <w:bottom w:sz="10" w:color="FFFFFF" w:val="single"/>
              <w:right w:sz="10" w:color="FFFFFF" w:val="single"/>
            </w:tcBorders>
            <w:vAlign w:val="bottom"/>
          </w:tcPr>
          <w:p>
            <w:pPr>
              <w:jc w:val="left"/>
            </w:pPr>
            <w:r>
              <w:rPr>
                <w:rFonts w:ascii="宋体" w:hAnsi="宋体" w:cs="宋体" w:eastAsia="宋体"/>
              </w:rPr>
              <w:t>   </w:t>
            </w:r>
          </w:p>
        </w:tc>
        <w:tc>
          <w:tcPr>
            <w:tcW w:w="1563" w:type="dxa"/>
            <w:tcBorders>
              <w:top w:sz="10" w:color="FFFFFF" w:val="single"/>
              <w:left w:sz="10" w:color="FFFFFF" w:val="single"/>
              <w:bottom w:sz="10" w:color="FFFFFF" w:val="single"/>
              <w:right w:sz="10" w:color="FFFFFF" w:val="single"/>
            </w:tcBorders>
            <w:vAlign w:val="bottom"/>
          </w:tcPr>
          <w:p>
            <w:pPr>
              <w:jc w:val="right"/>
            </w:pPr>
            <w:r>
              <w:rPr>
                <w:rFonts w:ascii="宋体" w:hAnsi="宋体" w:cs="宋体" w:eastAsia="宋体"/>
              </w:rPr>
              <w:t>预算公开表9</w:t>
            </w:r>
          </w:p>
        </w:tc>
      </w:tr>
      <w:tr>
        <w:trPr>
          <w:cantSplit/>
        </w:trPr>
        <w:tc>
          <w:tcPr>
            <w:tcW w:w="1373"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九、国有资本经营预算支出情况表</w:t>
            </w:r>
          </w:p>
        </w:tc>
        <w:tc>
          <w:tcPr>
            <w:tcW w:w="2859" w:type="dxa"/>
            <w:hMerge w:val="continue"/>
            <w:tcBorders>
              <w:top w:sz="10" w:color="FFFFFF" w:val="single"/>
              <w:left w:sz="10" w:color="FFFFFF" w:val="single"/>
              <w:bottom w:sz="10" w:color="FFFFFF" w:val="single"/>
              <w:right w:sz="10" w:color="FFFFFF" w:val="single"/>
            </w:tcBorders>
          </w:tcPr>
          <w:p>
            <w:r>
              <w:t/>
            </w:r>
          </w:p>
        </w:tc>
        <w:tc>
          <w:tcPr>
            <w:tcW w:w="1700" w:type="dxa"/>
            <w:hMerge w:val="continue"/>
            <w:tcBorders>
              <w:top w:sz="10" w:color="FFFFFF" w:val="single"/>
              <w:left w:sz="10" w:color="FFFFFF" w:val="single"/>
              <w:bottom w:sz="10" w:color="FFFFFF" w:val="single"/>
              <w:right w:sz="10" w:color="FFFFFF" w:val="single"/>
            </w:tcBorders>
          </w:tcPr>
          <w:p>
            <w:r>
              <w:t/>
            </w:r>
          </w:p>
        </w:tc>
        <w:tc>
          <w:tcPr>
            <w:tcW w:w="1532" w:type="dxa"/>
            <w:hMerge w:val="continue"/>
            <w:tcBorders>
              <w:top w:sz="10" w:color="FFFFFF" w:val="single"/>
              <w:left w:sz="10" w:color="FFFFFF" w:val="single"/>
              <w:bottom w:sz="10" w:color="FFFFFF" w:val="single"/>
              <w:right w:sz="10" w:color="FFFFFF" w:val="single"/>
            </w:tcBorders>
          </w:tcPr>
          <w:p>
            <w:r>
              <w:t/>
            </w:r>
          </w:p>
        </w:tc>
        <w:tc>
          <w:tcPr>
            <w:tcW w:w="1563" w:type="dxa"/>
            <w:hMerge w:val="continue"/>
            <w:tcBorders>
              <w:top w:sz="10" w:color="FFFFFF" w:val="single"/>
              <w:left w:sz="10" w:color="FFFFFF" w:val="single"/>
              <w:bottom w:sz="10" w:color="FFFFFF" w:val="single"/>
              <w:right w:sz="10" w:color="FFFFFF" w:val="single"/>
            </w:tcBorders>
          </w:tcPr>
          <w:p>
            <w:r>
              <w:t/>
            </w:r>
          </w:p>
        </w:tc>
      </w:tr>
      <w:tr>
        <w:trPr>
          <w:cantSplit/>
        </w:trPr>
        <w:tc>
          <w:tcPr>
            <w:tcW w:w="1373" w:type="dxa"/>
            <w:hMerge w:val="restart"/>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部门名称：天津市西青区王稳庄镇人民政府</w:t>
            </w:r>
          </w:p>
        </w:tc>
        <w:tc>
          <w:tcPr>
            <w:tcW w:w="2859" w:type="dxa"/>
            <w:hMerge w:val="continue"/>
            <w:tcBorders>
              <w:top w:sz="10" w:color="FFFFFF" w:val="single"/>
              <w:left w:sz="10" w:color="FFFFFF" w:val="single"/>
              <w:bottom w:sz="10" w:color="000000" w:val="single"/>
              <w:right w:sz="10" w:color="FFFFFF" w:val="single"/>
            </w:tcBorders>
          </w:tcPr>
          <w:p>
            <w:r>
              <w:t/>
            </w:r>
          </w:p>
        </w:tc>
        <w:tc>
          <w:tcPr>
            <w:tcW w:w="1700" w:type="dxa"/>
            <w:hMerge w:val="continue"/>
            <w:tcBorders>
              <w:top w:sz="10" w:color="FFFFFF" w:val="single"/>
              <w:left w:sz="10" w:color="FFFFFF" w:val="single"/>
              <w:bottom w:sz="10" w:color="000000" w:val="single"/>
              <w:right w:sz="10" w:color="FFFFFF" w:val="single"/>
            </w:tcBorders>
          </w:tcPr>
          <w:p>
            <w:r>
              <w:t/>
            </w:r>
          </w:p>
        </w:tc>
        <w:tc>
          <w:tcPr>
            <w:tcW w:w="1532" w:type="dxa"/>
            <w:hMerge w:val="continue"/>
            <w:tcBorders>
              <w:top w:sz="10" w:color="FFFFFF" w:val="single"/>
              <w:left w:sz="10" w:color="FFFFFF" w:val="single"/>
              <w:bottom w:sz="10" w:color="000000" w:val="single"/>
              <w:right w:sz="10" w:color="FFFFFF" w:val="single"/>
            </w:tcBorders>
          </w:tcPr>
          <w:p>
            <w:r>
              <w:t/>
            </w:r>
          </w:p>
        </w:tc>
        <w:tc>
          <w:tcPr>
            <w:tcW w:w="1563" w:type="dxa"/>
            <w:tcBorders>
              <w:top w:sz="10" w:color="FFFFFF" w:val="single"/>
              <w:left w:sz="10" w:color="FFFFFF" w:val="single"/>
              <w:bottom w:sz="10" w:color="000000" w:val="single"/>
              <w:right w:sz="10" w:color="FFFFFF" w:val="single"/>
            </w:tcBorders>
            <w:vAlign w:val="center"/>
          </w:tcPr>
          <w:p>
            <w:pPr>
              <w:jc w:val="right"/>
            </w:pPr>
            <w:r>
              <w:rPr>
                <w:rFonts w:ascii="仿宋" w:hAnsi="仿宋" w:cs="仿宋" w:eastAsia="仿宋"/>
              </w:rPr>
              <w:t>单位：万元</w:t>
            </w:r>
          </w:p>
        </w:tc>
      </w:tr>
      <w:tr>
        <w:trPr>
          <w:cantSplit/>
        </w:trPr>
        <w:tc>
          <w:tcPr>
            <w:tcW w:w="1373"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科目编码</w:t>
            </w:r>
          </w:p>
        </w:tc>
        <w:tc>
          <w:tcPr>
            <w:tcW w:w="2859"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科目名称</w:t>
            </w:r>
          </w:p>
        </w:tc>
        <w:tc>
          <w:tcPr>
            <w:tcW w:w="1700"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本年国有资本经营基金预算支出</w:t>
            </w:r>
          </w:p>
        </w:tc>
        <w:tc>
          <w:tcPr>
            <w:tcW w:w="1532" w:type="dxa"/>
            <w:hMerge w:val="continue"/>
            <w:tcBorders>
              <w:top w:sz="10" w:color="000000" w:val="single"/>
              <w:left w:sz="10" w:color="000000" w:val="single"/>
              <w:bottom w:sz="10" w:color="000000" w:val="single"/>
              <w:right w:sz="10" w:color="000000" w:val="single"/>
            </w:tcBorders>
          </w:tcPr>
          <w:p>
            <w:r>
              <w:t/>
            </w:r>
          </w:p>
        </w:tc>
        <w:tc>
          <w:tcPr>
            <w:tcW w:w="1563" w:type="dxa"/>
            <w:hMerge w:val="continue"/>
            <w:tcBorders>
              <w:top w:sz="10" w:color="000000" w:val="single"/>
              <w:left w:sz="10" w:color="000000" w:val="single"/>
              <w:bottom w:sz="10" w:color="000000" w:val="single"/>
              <w:right w:sz="10" w:color="000000" w:val="single"/>
            </w:tcBorders>
          </w:tcPr>
          <w:p>
            <w:r>
              <w:t/>
            </w:r>
          </w:p>
        </w:tc>
      </w:tr>
      <w:tr>
        <w:trPr>
          <w:cantSplit/>
        </w:trPr>
        <w:tc>
          <w:tcPr>
            <w:tcW w:w="1373" w:type="dxa"/>
            <w:vMerge w:val="continue"/>
            <w:tcBorders>
              <w:top w:sz="10" w:color="000000" w:val="single"/>
              <w:left w:sz="10" w:color="000000" w:val="single"/>
              <w:bottom w:sz="10" w:color="000000" w:val="single"/>
              <w:right w:sz="10" w:color="000000" w:val="single"/>
            </w:tcBorders>
          </w:tcPr>
          <w:p>
            <w:r>
              <w:t/>
            </w:r>
          </w:p>
        </w:tc>
        <w:tc>
          <w:tcPr>
            <w:tcW w:w="2859" w:type="dxa"/>
            <w:vMerge w:val="continue"/>
            <w:tcBorders>
              <w:top w:sz="10" w:color="000000" w:val="single"/>
              <w:left w:sz="10" w:color="000000" w:val="single"/>
              <w:bottom w:sz="10" w:color="000000" w:val="single"/>
              <w:right w:sz="10" w:color="000000" w:val="single"/>
            </w:tcBorders>
          </w:tcPr>
          <w:p>
            <w:r>
              <w:t/>
            </w:r>
          </w:p>
        </w:tc>
        <w:tc>
          <w:tcPr>
            <w:tcW w:w="1700"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1532"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基本支出</w:t>
            </w:r>
          </w:p>
        </w:tc>
        <w:tc>
          <w:tcPr>
            <w:tcW w:w="1563"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项目支出</w:t>
            </w:r>
          </w:p>
        </w:tc>
      </w:tr>
      <w:tr>
        <w:trPr>
          <w:cantSplit/>
        </w:trPr>
        <w:tc>
          <w:tcPr>
            <w:tcW w:w="1373" w:type="dxa"/>
            <w:vMerge w:val="continue"/>
            <w:tcBorders>
              <w:top w:sz="10" w:color="000000" w:val="single"/>
              <w:left w:sz="10" w:color="000000" w:val="single"/>
              <w:bottom w:sz="10" w:color="000000" w:val="single"/>
              <w:right w:sz="10" w:color="000000" w:val="single"/>
            </w:tcBorders>
          </w:tcPr>
          <w:p>
            <w:r>
              <w:t/>
            </w:r>
          </w:p>
        </w:tc>
        <w:tc>
          <w:tcPr>
            <w:tcW w:w="2859" w:type="dxa"/>
            <w:vMerge w:val="continue"/>
            <w:tcBorders>
              <w:top w:sz="10" w:color="000000" w:val="single"/>
              <w:left w:sz="10" w:color="000000" w:val="single"/>
              <w:bottom w:sz="10" w:color="000000" w:val="single"/>
              <w:right w:sz="10" w:color="000000" w:val="single"/>
            </w:tcBorders>
          </w:tcPr>
          <w:p>
            <w:r>
              <w:t/>
            </w:r>
          </w:p>
        </w:tc>
        <w:tc>
          <w:tcPr>
            <w:tcW w:w="1700" w:type="dxa"/>
            <w:vMerge w:val="continue"/>
            <w:tcBorders>
              <w:top w:sz="10" w:color="000000" w:val="single"/>
              <w:left w:sz="10" w:color="000000" w:val="single"/>
              <w:bottom w:sz="10" w:color="000000" w:val="single"/>
              <w:right w:sz="10" w:color="000000" w:val="single"/>
            </w:tcBorders>
          </w:tcPr>
          <w:p>
            <w:r>
              <w:t/>
            </w:r>
          </w:p>
        </w:tc>
        <w:tc>
          <w:tcPr>
            <w:tcW w:w="1532" w:type="dxa"/>
            <w:vMerge w:val="continue"/>
            <w:tcBorders>
              <w:top w:sz="10" w:color="000000" w:val="single"/>
              <w:left w:sz="10" w:color="000000" w:val="single"/>
              <w:bottom w:sz="10" w:color="000000" w:val="single"/>
              <w:right w:sz="10" w:color="000000" w:val="single"/>
            </w:tcBorders>
          </w:tcPr>
          <w:p>
            <w:r>
              <w:t/>
            </w:r>
          </w:p>
        </w:tc>
        <w:tc>
          <w:tcPr>
            <w:tcW w:w="1563" w:type="dxa"/>
            <w:vMerge w:val="continue"/>
            <w:tcBorders>
              <w:top w:sz="10" w:color="000000" w:val="single"/>
              <w:left w:sz="10" w:color="000000" w:val="single"/>
              <w:bottom w:sz="10" w:color="000000" w:val="single"/>
              <w:right w:sz="10" w:color="000000" w:val="single"/>
            </w:tcBorders>
          </w:tcPr>
          <w:p>
            <w:r>
              <w:t/>
            </w:r>
          </w:p>
        </w:tc>
      </w:tr>
      <w:tr>
        <w:trPr>
          <w:cantSplit/>
        </w:trPr>
        <w:tc>
          <w:tcPr>
            <w:tcW w:w="1373"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2859" w:type="dxa"/>
            <w:hMerge w:val="continue"/>
            <w:tcBorders>
              <w:top w:sz="10" w:color="000000" w:val="single"/>
              <w:left w:sz="10" w:color="000000" w:val="single"/>
              <w:bottom w:sz="10" w:color="000000" w:val="single"/>
              <w:right w:sz="10" w:color="000000" w:val="single"/>
            </w:tcBorders>
          </w:tcPr>
          <w:p>
            <w:r>
              <w:t/>
            </w:r>
          </w:p>
        </w:tc>
        <w:tc>
          <w:tcPr>
            <w:tcW w:w="1700" w:type="dxa"/>
            <w:tcBorders>
              <w:top w:sz="10" w:color="000000" w:val="single"/>
              <w:left w:sz="10" w:color="000000" w:val="single"/>
              <w:bottom w:sz="10" w:color="000000" w:val="single"/>
              <w:right w:sz="10" w:color="000000" w:val="single"/>
            </w:tcBorders>
            <w:vAlign w:val="center"/>
          </w:tcPr>
          <w:p>
            <w:pPr>
              <w:jc w:val="left"/>
            </w:pPr>
            <w:r>
              <w:rPr>
                <w:rFonts w:ascii="仿宋" w:hAnsi="仿宋" w:cs="仿宋" w:eastAsia="仿宋"/>
              </w:rPr>
              <w:t>   </w:t>
            </w:r>
          </w:p>
        </w:tc>
        <w:tc>
          <w:tcPr>
            <w:tcW w:w="1532" w:type="dxa"/>
            <w:tcBorders>
              <w:top w:sz="10" w:color="000000" w:val="single"/>
              <w:left w:sz="10" w:color="000000" w:val="single"/>
              <w:bottom w:sz="10" w:color="000000" w:val="single"/>
              <w:right w:sz="10" w:color="000000" w:val="single"/>
            </w:tcBorders>
            <w:vAlign w:val="center"/>
          </w:tcPr>
          <w:p>
            <w:pPr>
              <w:jc w:val="left"/>
            </w:pPr>
            <w:r>
              <w:rPr>
                <w:rFonts w:ascii="仿宋" w:hAnsi="仿宋" w:cs="仿宋" w:eastAsia="仿宋"/>
              </w:rPr>
              <w:t>   </w:t>
            </w:r>
          </w:p>
        </w:tc>
        <w:tc>
          <w:tcPr>
            <w:tcW w:w="1563" w:type="dxa"/>
            <w:tcBorders>
              <w:top w:sz="10" w:color="000000" w:val="single"/>
              <w:left w:sz="10" w:color="000000" w:val="single"/>
              <w:bottom w:sz="10" w:color="000000" w:val="single"/>
              <w:right w:sz="10" w:color="000000" w:val="single"/>
            </w:tcBorders>
            <w:vAlign w:val="center"/>
          </w:tcPr>
          <w:p>
            <w:pPr>
              <w:jc w:val="left"/>
            </w:pPr>
            <w:r>
              <w:rPr>
                <w:rFonts w:ascii="仿宋" w:hAnsi="仿宋" w:cs="仿宋" w:eastAsia="仿宋"/>
              </w:rPr>
              <w:t>   </w:t>
            </w:r>
          </w:p>
        </w:tc>
      </w:tr>
      <w:tr>
        <w:trPr>
          <w:cantSplit/>
        </w:trPr>
        <w:tc>
          <w:tcPr>
            <w:tcW w:w="1373"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285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   </w:t>
            </w:r>
          </w:p>
        </w:tc>
        <w:tc>
          <w:tcPr>
            <w:tcW w:w="1700"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53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156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1373" w:type="dxa"/>
            <w:hMerge w:val="restart"/>
            <w:tcBorders>
              <w:top w:sz="10" w:color="FFFFFF" w:val="single"/>
              <w:left w:sz="10" w:color="FFFFFF" w:val="single"/>
              <w:bottom w:sz="10" w:color="FFFFFF" w:val="single"/>
              <w:right w:sz="10" w:color="FFFFFF" w:val="single"/>
            </w:tcBorders>
            <w:vAlign w:val="center"/>
          </w:tcPr>
          <w:p>
            <w:pPr>
              <w:jc w:val="left"/>
            </w:pPr>
            <w:r>
              <w:rPr>
                <w:rFonts w:ascii="宋体" w:hAnsi="宋体" w:cs="宋体" w:eastAsia="宋体"/>
              </w:rPr>
              <w:t>注：本部门2026年国有资本经营预算支出表为空表</w:t>
            </w:r>
          </w:p>
        </w:tc>
        <w:tc>
          <w:tcPr>
            <w:tcW w:w="2859" w:type="dxa"/>
            <w:hMerge w:val="continue"/>
            <w:tcBorders>
              <w:top w:sz="10" w:color="FFFFFF" w:val="single"/>
              <w:left w:sz="10" w:color="FFFFFF" w:val="single"/>
              <w:bottom w:sz="10" w:color="FFFFFF" w:val="single"/>
              <w:right w:sz="10" w:color="FFFFFF" w:val="single"/>
            </w:tcBorders>
          </w:tcPr>
          <w:p>
            <w:r>
              <w:t/>
            </w:r>
          </w:p>
        </w:tc>
        <w:tc>
          <w:tcPr>
            <w:tcW w:w="1700" w:type="dxa"/>
            <w:hMerge w:val="continue"/>
            <w:tcBorders>
              <w:top w:sz="10" w:color="FFFFFF" w:val="single"/>
              <w:left w:sz="10" w:color="FFFFFF" w:val="single"/>
              <w:bottom w:sz="10" w:color="FFFFFF" w:val="single"/>
              <w:right w:sz="10" w:color="FFFFFF" w:val="single"/>
            </w:tcBorders>
          </w:tcPr>
          <w:p>
            <w:r>
              <w:t/>
            </w:r>
          </w:p>
        </w:tc>
        <w:tc>
          <w:tcPr>
            <w:tcW w:w="1532" w:type="dxa"/>
            <w:hMerge w:val="continue"/>
            <w:tcBorders>
              <w:top w:sz="10" w:color="FFFFFF" w:val="single"/>
              <w:left w:sz="10" w:color="FFFFFF" w:val="single"/>
              <w:bottom w:sz="10" w:color="FFFFFF" w:val="single"/>
              <w:right w:sz="10" w:color="FFFFFF" w:val="single"/>
            </w:tcBorders>
          </w:tcPr>
          <w:p>
            <w:r>
              <w:t/>
            </w:r>
          </w:p>
        </w:tc>
        <w:tc>
          <w:tcPr>
            <w:tcW w:w="1563" w:type="dxa"/>
            <w:hMerge w:val="continue"/>
            <w:tcBorders>
              <w:top w:sz="10" w:color="FFFFFF" w:val="single"/>
              <w:left w:sz="10" w:color="FFFFFF" w:val="single"/>
              <w:bottom w:sz="10" w:color="FFFFFF" w:val="single"/>
              <w:right w:sz="10" w:color="FFFFFF" w:val="single"/>
            </w:tcBorders>
          </w:tcPr>
          <w:p>
            <w:r>
              <w:t/>
            </w:r>
          </w:p>
        </w:tc>
      </w:tr>
    </w:tbl>
    <w:p>
      <w:pPr>
        <w:sectPr>
          <w:headerReference w:type="default" r:id="rId18"/>
          <w:footerReference w:type="default" r:id="rId19"/>
          <w:pgSz w:orient="portrait" w:w="11906" w:h="16838"/>
        </w:sectPr>
      </w:pPr>
    </w:p>
    <w:p>
      <w:pPr>
        <w:pageBreakBefore w:val="on"/>
      </w:pPr>
    </w:p>
    <w:tbl>
      <w:tblPr>
        <w:tblW w:w="9027" w:type="dxa"/>
        <w:tblBorders>
          <w:top w:val="single"/>
          <w:left w:val="single"/>
          <w:bottom w:val="single"/>
          <w:right w:val="single"/>
          <w:insideH w:val="single"/>
          <w:insideV w:val="single"/>
        </w:tblBorders>
      </w:tblPr>
      <w:tr>
        <w:trPr>
          <w:cantSplit/>
        </w:trPr>
        <w:tc>
          <w:tcPr>
            <w:tcW w:w="617" w:type="dxa"/>
            <w:tcBorders>
              <w:top w:sz="10" w:color="FFFFFF" w:val="single"/>
              <w:left w:sz="10" w:color="FFFFFF" w:val="single"/>
              <w:bottom w:sz="10" w:color="FFFFFF" w:val="single"/>
              <w:right w:sz="10" w:color="FFFFFF" w:val="single"/>
            </w:tcBorders>
            <w:vAlign w:val="center"/>
          </w:tcPr>
          <w:p>
            <w:pPr>
              <w:jc w:val="left"/>
            </w:pPr>
            <w:r>
              <w:rPr>
                <w:rFonts w:ascii="宋体" w:hAnsi="宋体" w:cs="宋体" w:eastAsia="宋体"/>
              </w:rPr>
              <w:t>   </w:t>
            </w:r>
          </w:p>
        </w:tc>
        <w:tc>
          <w:tcPr>
            <w:tcW w:w="1921" w:type="dxa"/>
          </w:tcPr>
          <w:p>
            <w:pPr>
              <w:jc w:val="left"/>
            </w:pPr>
            <w:r>
              <w:t> </w:t>
            </w:r>
          </w:p>
        </w:tc>
        <w:tc>
          <w:tcPr>
            <w:tcW w:w="2109" w:type="dxa"/>
          </w:tcPr>
          <w:p>
            <w:pPr>
              <w:jc w:val="left"/>
            </w:pPr>
            <w:r>
              <w:t> </w:t>
            </w:r>
          </w:p>
        </w:tc>
        <w:tc>
          <w:tcPr>
            <w:tcW w:w="646" w:type="dxa"/>
            <w:tcBorders>
              <w:top w:sz="10" w:color="FFFFFF" w:val="single"/>
              <w:left w:sz="10" w:color="FFFFFF" w:val="single"/>
              <w:bottom w:sz="10" w:color="FFFFFF" w:val="single"/>
              <w:right w:sz="10" w:color="FFFFFF" w:val="single"/>
            </w:tcBorders>
            <w:vAlign w:val="center"/>
          </w:tcPr>
          <w:p>
            <w:pPr>
              <w:jc w:val="left"/>
            </w:pPr>
            <w:r>
              <w:rPr>
                <w:rFonts w:ascii="仿宋" w:hAnsi="仿宋" w:cs="仿宋" w:eastAsia="仿宋"/>
              </w:rPr>
              <w:t>   </w:t>
            </w:r>
          </w:p>
        </w:tc>
        <w:tc>
          <w:tcPr>
            <w:tcW w:w="771" w:type="dxa"/>
            <w:tcBorders>
              <w:top w:sz="10" w:color="FFFFFF" w:val="single"/>
              <w:left w:sz="10" w:color="FFFFFF" w:val="single"/>
              <w:bottom w:sz="10" w:color="FFFFFF" w:val="single"/>
              <w:right w:sz="10" w:color="FFFFFF" w:val="single"/>
            </w:tcBorders>
            <w:vAlign w:val="center"/>
          </w:tcPr>
          <w:p>
            <w:pPr>
              <w:jc w:val="left"/>
            </w:pPr>
            <w:r>
              <w:rPr>
                <w:rFonts w:ascii="仿宋" w:hAnsi="仿宋" w:cs="仿宋" w:eastAsia="仿宋"/>
              </w:rPr>
              <w:t>   </w:t>
            </w:r>
          </w:p>
        </w:tc>
        <w:tc>
          <w:tcPr>
            <w:tcW w:w="442" w:type="dxa"/>
            <w:tcBorders>
              <w:top w:sz="10" w:color="FFFFFF" w:val="single"/>
              <w:left w:sz="10" w:color="FFFFFF" w:val="single"/>
              <w:bottom w:sz="10" w:color="FFFFFF" w:val="single"/>
              <w:right w:sz="10" w:color="FFFFFF" w:val="single"/>
            </w:tcBorders>
            <w:vAlign w:val="center"/>
          </w:tcPr>
          <w:p>
            <w:pPr>
              <w:jc w:val="left"/>
            </w:pPr>
            <w:r>
              <w:rPr>
                <w:rFonts w:ascii="仿宋" w:hAnsi="仿宋" w:cs="仿宋" w:eastAsia="仿宋"/>
              </w:rPr>
              <w:t>   </w:t>
            </w:r>
          </w:p>
        </w:tc>
        <w:tc>
          <w:tcPr>
            <w:tcW w:w="453" w:type="dxa"/>
            <w:tcBorders>
              <w:top w:sz="10" w:color="FFFFFF" w:val="single"/>
              <w:left w:sz="10" w:color="FFFFFF" w:val="single"/>
              <w:bottom w:sz="10" w:color="FFFFFF" w:val="single"/>
              <w:right w:sz="10" w:color="FFFFFF" w:val="single"/>
            </w:tcBorders>
            <w:vAlign w:val="center"/>
          </w:tcPr>
          <w:p>
            <w:pPr>
              <w:jc w:val="left"/>
            </w:pPr>
            <w:r>
              <w:rPr>
                <w:rFonts w:ascii="仿宋" w:hAnsi="仿宋" w:cs="仿宋" w:eastAsia="仿宋"/>
              </w:rPr>
              <w:t>   </w:t>
            </w:r>
          </w:p>
        </w:tc>
        <w:tc>
          <w:tcPr>
            <w:tcW w:w="362" w:type="dxa"/>
            <w:tcBorders>
              <w:top w:sz="10" w:color="FFFFFF" w:val="single"/>
              <w:left w:sz="10" w:color="FFFFFF" w:val="single"/>
              <w:bottom w:sz="10" w:color="FFFFFF" w:val="single"/>
              <w:right w:sz="10" w:color="FFFFFF" w:val="single"/>
            </w:tcBorders>
            <w:vAlign w:val="top"/>
          </w:tcPr>
          <w:p>
            <w:pPr>
              <w:jc w:val="left"/>
            </w:pPr>
            <w:r>
              <w:rPr>
                <w:rFonts w:ascii="仿宋" w:hAnsi="仿宋" w:cs="仿宋" w:eastAsia="仿宋"/>
              </w:rPr>
              <w:t>   </w:t>
            </w:r>
          </w:p>
        </w:tc>
        <w:tc>
          <w:tcPr>
            <w:tcW w:w="425" w:type="dxa"/>
            <w:hMerge w:val="restart"/>
            <w:tcBorders>
              <w:top w:sz="10" w:color="FFFFFF" w:val="single"/>
              <w:left w:sz="10" w:color="FFFFFF" w:val="single"/>
              <w:bottom w:sz="10" w:color="FFFFFF" w:val="single"/>
              <w:right w:sz="10" w:color="FFFFFF" w:val="single"/>
            </w:tcBorders>
            <w:vAlign w:val="bottom"/>
          </w:tcPr>
          <w:p>
            <w:pPr>
              <w:jc w:val="right"/>
            </w:pPr>
            <w:r>
              <w:rPr>
                <w:rFonts w:ascii="宋体" w:hAnsi="宋体" w:cs="宋体" w:eastAsia="宋体"/>
              </w:rPr>
              <w:t>预算公开表10</w:t>
            </w:r>
          </w:p>
        </w:tc>
        <w:tc>
          <w:tcPr>
            <w:tcW w:w="453" w:type="dxa"/>
            <w:hMerge w:val="continue"/>
            <w:tcBorders>
              <w:top w:sz="10" w:color="FFFFFF" w:val="single"/>
              <w:left w:sz="10" w:color="FFFFFF" w:val="single"/>
              <w:bottom w:sz="10" w:color="FFFFFF" w:val="single"/>
              <w:right w:sz="10" w:color="FFFFFF" w:val="single"/>
            </w:tcBorders>
          </w:tcPr>
          <w:p>
            <w:r>
              <w:t/>
            </w:r>
          </w:p>
        </w:tc>
        <w:tc>
          <w:tcPr>
            <w:tcW w:w="317" w:type="dxa"/>
            <w:hMerge w:val="continue"/>
            <w:tcBorders>
              <w:top w:sz="10" w:color="FFFFFF" w:val="single"/>
              <w:left w:sz="10" w:color="FFFFFF" w:val="single"/>
              <w:bottom w:sz="10" w:color="FFFFFF" w:val="single"/>
              <w:right w:sz="10" w:color="FFFFFF" w:val="single"/>
            </w:tcBorders>
          </w:tcPr>
          <w:p>
            <w:r>
              <w:t/>
            </w:r>
          </w:p>
        </w:tc>
        <w:tc>
          <w:tcPr>
            <w:tcW w:w="511" w:type="dxa"/>
            <w:hMerge w:val="continue"/>
            <w:tcBorders>
              <w:top w:sz="10" w:color="FFFFFF" w:val="single"/>
              <w:left w:sz="10" w:color="FFFFFF" w:val="single"/>
              <w:bottom w:sz="10" w:color="FFFFFF" w:val="single"/>
              <w:right w:sz="10" w:color="FFFFFF" w:val="single"/>
            </w:tcBorders>
          </w:tcPr>
          <w:p>
            <w:r>
              <w:t/>
            </w:r>
          </w:p>
        </w:tc>
      </w:tr>
      <w:tr>
        <w:trPr>
          <w:cantSplit/>
        </w:trPr>
        <w:tc>
          <w:tcPr>
            <w:tcW w:w="617" w:type="dxa"/>
            <w:hMerge w:val="restart"/>
            <w:tcBorders>
              <w:top w:sz="10" w:color="FFFFFF" w:val="single"/>
              <w:left w:sz="10" w:color="FFFFFF" w:val="single"/>
              <w:bottom w:sz="10" w:color="FFFFFF" w:val="single"/>
              <w:right w:sz="10" w:color="FFFFFF" w:val="single"/>
            </w:tcBorders>
            <w:vAlign w:val="center"/>
          </w:tcPr>
          <w:p>
            <w:pPr>
              <w:jc w:val="center"/>
            </w:pPr>
            <w:r>
              <w:rPr>
                <w:rFonts w:ascii="宋体" w:hAnsi="宋体" w:cs="宋体" w:eastAsia="宋体"/>
              </w:rPr>
              <w:t>十、项目支出表</w:t>
            </w:r>
          </w:p>
        </w:tc>
        <w:tc>
          <w:tcPr>
            <w:tcW w:w="1921" w:type="dxa"/>
            <w:hMerge w:val="continue"/>
            <w:tcBorders>
              <w:top w:sz="10" w:color="FFFFFF" w:val="single"/>
              <w:left w:sz="10" w:color="FFFFFF" w:val="single"/>
              <w:bottom w:sz="10" w:color="FFFFFF" w:val="single"/>
              <w:right w:sz="10" w:color="FFFFFF" w:val="single"/>
            </w:tcBorders>
          </w:tcPr>
          <w:p>
            <w:r>
              <w:t/>
            </w:r>
          </w:p>
        </w:tc>
        <w:tc>
          <w:tcPr>
            <w:tcW w:w="2109" w:type="dxa"/>
            <w:hMerge w:val="continue"/>
            <w:tcBorders>
              <w:top w:sz="10" w:color="FFFFFF" w:val="single"/>
              <w:left w:sz="10" w:color="FFFFFF" w:val="single"/>
              <w:bottom w:sz="10" w:color="FFFFFF" w:val="single"/>
              <w:right w:sz="10" w:color="FFFFFF" w:val="single"/>
            </w:tcBorders>
          </w:tcPr>
          <w:p>
            <w:r>
              <w:t/>
            </w:r>
          </w:p>
        </w:tc>
        <w:tc>
          <w:tcPr>
            <w:tcW w:w="646" w:type="dxa"/>
            <w:hMerge w:val="continue"/>
            <w:tcBorders>
              <w:top w:sz="10" w:color="FFFFFF" w:val="single"/>
              <w:left w:sz="10" w:color="FFFFFF" w:val="single"/>
              <w:bottom w:sz="10" w:color="FFFFFF" w:val="single"/>
              <w:right w:sz="10" w:color="FFFFFF" w:val="single"/>
            </w:tcBorders>
          </w:tcPr>
          <w:p>
            <w:r>
              <w:t/>
            </w:r>
          </w:p>
        </w:tc>
        <w:tc>
          <w:tcPr>
            <w:tcW w:w="771" w:type="dxa"/>
            <w:hMerge w:val="continue"/>
            <w:tcBorders>
              <w:top w:sz="10" w:color="FFFFFF" w:val="single"/>
              <w:left w:sz="10" w:color="FFFFFF" w:val="single"/>
              <w:bottom w:sz="10" w:color="FFFFFF" w:val="single"/>
              <w:right w:sz="10" w:color="FFFFFF" w:val="single"/>
            </w:tcBorders>
          </w:tcPr>
          <w:p>
            <w:r>
              <w:t/>
            </w:r>
          </w:p>
        </w:tc>
        <w:tc>
          <w:tcPr>
            <w:tcW w:w="442" w:type="dxa"/>
            <w:hMerge w:val="continue"/>
            <w:tcBorders>
              <w:top w:sz="10" w:color="FFFFFF" w:val="single"/>
              <w:left w:sz="10" w:color="FFFFFF" w:val="single"/>
              <w:bottom w:sz="10" w:color="FFFFFF" w:val="single"/>
              <w:right w:sz="10" w:color="FFFFFF" w:val="single"/>
            </w:tcBorders>
          </w:tcPr>
          <w:p>
            <w:r>
              <w:t/>
            </w:r>
          </w:p>
        </w:tc>
        <w:tc>
          <w:tcPr>
            <w:tcW w:w="453" w:type="dxa"/>
            <w:hMerge w:val="continue"/>
            <w:tcBorders>
              <w:top w:sz="10" w:color="FFFFFF" w:val="single"/>
              <w:left w:sz="10" w:color="FFFFFF" w:val="single"/>
              <w:bottom w:sz="10" w:color="FFFFFF" w:val="single"/>
              <w:right w:sz="10" w:color="FFFFFF" w:val="single"/>
            </w:tcBorders>
          </w:tcPr>
          <w:p>
            <w:r>
              <w:t/>
            </w:r>
          </w:p>
        </w:tc>
        <w:tc>
          <w:tcPr>
            <w:tcW w:w="362" w:type="dxa"/>
            <w:hMerge w:val="continue"/>
            <w:tcBorders>
              <w:top w:sz="10" w:color="FFFFFF" w:val="single"/>
              <w:left w:sz="10" w:color="FFFFFF" w:val="single"/>
              <w:bottom w:sz="10" w:color="FFFFFF" w:val="single"/>
              <w:right w:sz="10" w:color="FFFFFF" w:val="single"/>
            </w:tcBorders>
          </w:tcPr>
          <w:p>
            <w:r>
              <w:t/>
            </w:r>
          </w:p>
        </w:tc>
        <w:tc>
          <w:tcPr>
            <w:tcW w:w="425" w:type="dxa"/>
            <w:hMerge w:val="continue"/>
            <w:tcBorders>
              <w:top w:sz="10" w:color="FFFFFF" w:val="single"/>
              <w:left w:sz="10" w:color="FFFFFF" w:val="single"/>
              <w:bottom w:sz="10" w:color="FFFFFF" w:val="single"/>
              <w:right w:sz="10" w:color="FFFFFF" w:val="single"/>
            </w:tcBorders>
          </w:tcPr>
          <w:p>
            <w:r>
              <w:t/>
            </w:r>
          </w:p>
        </w:tc>
        <w:tc>
          <w:tcPr>
            <w:tcW w:w="453" w:type="dxa"/>
            <w:hMerge w:val="continue"/>
            <w:tcBorders>
              <w:top w:sz="10" w:color="FFFFFF" w:val="single"/>
              <w:left w:sz="10" w:color="FFFFFF" w:val="single"/>
              <w:bottom w:sz="10" w:color="FFFFFF" w:val="single"/>
              <w:right w:sz="10" w:color="FFFFFF" w:val="single"/>
            </w:tcBorders>
          </w:tcPr>
          <w:p>
            <w:r>
              <w:t/>
            </w:r>
          </w:p>
        </w:tc>
        <w:tc>
          <w:tcPr>
            <w:tcW w:w="317" w:type="dxa"/>
            <w:hMerge w:val="continue"/>
            <w:tcBorders>
              <w:top w:sz="10" w:color="FFFFFF" w:val="single"/>
              <w:left w:sz="10" w:color="FFFFFF" w:val="single"/>
              <w:bottom w:sz="10" w:color="FFFFFF" w:val="single"/>
              <w:right w:sz="10" w:color="FFFFFF" w:val="single"/>
            </w:tcBorders>
          </w:tcPr>
          <w:p>
            <w:r>
              <w:t/>
            </w:r>
          </w:p>
        </w:tc>
        <w:tc>
          <w:tcPr>
            <w:tcW w:w="511" w:type="dxa"/>
            <w:hMerge w:val="continue"/>
            <w:tcBorders>
              <w:top w:sz="10" w:color="FFFFFF" w:val="single"/>
              <w:left w:sz="10" w:color="FFFFFF" w:val="single"/>
              <w:bottom w:sz="10" w:color="FFFFFF" w:val="single"/>
              <w:right w:sz="10" w:color="FFFFFF" w:val="single"/>
            </w:tcBorders>
          </w:tcPr>
          <w:p>
            <w:r>
              <w:t/>
            </w:r>
          </w:p>
        </w:tc>
      </w:tr>
      <w:tr>
        <w:trPr>
          <w:cantSplit/>
        </w:trPr>
        <w:tc>
          <w:tcPr>
            <w:tcW w:w="617" w:type="dxa"/>
            <w:hMerge w:val="restart"/>
            <w:tcBorders>
              <w:top w:sz="10" w:color="FFFFFF" w:val="single"/>
              <w:left w:sz="10" w:color="FFFFFF" w:val="single"/>
              <w:bottom w:sz="10" w:color="000000" w:val="single"/>
              <w:right w:sz="10" w:color="FFFFFF" w:val="single"/>
            </w:tcBorders>
            <w:vAlign w:val="center"/>
          </w:tcPr>
          <w:p>
            <w:pPr>
              <w:jc w:val="left"/>
            </w:pPr>
            <w:r>
              <w:rPr>
                <w:rFonts w:ascii="仿宋" w:hAnsi="仿宋" w:cs="仿宋" w:eastAsia="仿宋"/>
              </w:rPr>
              <w:t>部门名称：天津市西青区王稳庄镇人民政府</w:t>
            </w:r>
          </w:p>
        </w:tc>
        <w:tc>
          <w:tcPr>
            <w:tcW w:w="1921" w:type="dxa"/>
            <w:hMerge w:val="continue"/>
            <w:tcBorders>
              <w:top w:sz="10" w:color="FFFFFF" w:val="single"/>
              <w:left w:sz="10" w:color="FFFFFF" w:val="single"/>
              <w:bottom w:sz="10" w:color="000000" w:val="single"/>
              <w:right w:sz="10" w:color="FFFFFF" w:val="single"/>
            </w:tcBorders>
          </w:tcPr>
          <w:p>
            <w:r>
              <w:t/>
            </w:r>
          </w:p>
        </w:tc>
        <w:tc>
          <w:tcPr>
            <w:tcW w:w="2109" w:type="dxa"/>
            <w:hMerge w:val="continue"/>
            <w:tcBorders>
              <w:top w:sz="10" w:color="FFFFFF" w:val="single"/>
              <w:left w:sz="10" w:color="FFFFFF" w:val="single"/>
              <w:bottom w:sz="10" w:color="000000" w:val="single"/>
              <w:right w:sz="10" w:color="FFFFFF" w:val="single"/>
            </w:tcBorders>
          </w:tcPr>
          <w:p>
            <w:r>
              <w:t/>
            </w:r>
          </w:p>
        </w:tc>
        <w:tc>
          <w:tcPr>
            <w:tcW w:w="646" w:type="dxa"/>
            <w:hMerge w:val="continue"/>
            <w:tcBorders>
              <w:top w:sz="10" w:color="FFFFFF" w:val="single"/>
              <w:left w:sz="10" w:color="FFFFFF" w:val="single"/>
              <w:bottom w:sz="10" w:color="000000" w:val="single"/>
              <w:right w:sz="10" w:color="FFFFFF" w:val="single"/>
            </w:tcBorders>
          </w:tcPr>
          <w:p>
            <w:r>
              <w:t/>
            </w:r>
          </w:p>
        </w:tc>
        <w:tc>
          <w:tcPr>
            <w:tcW w:w="771" w:type="dxa"/>
            <w:hMerge w:val="continue"/>
            <w:tcBorders>
              <w:top w:sz="10" w:color="FFFFFF" w:val="single"/>
              <w:left w:sz="10" w:color="FFFFFF" w:val="single"/>
              <w:bottom w:sz="10" w:color="000000" w:val="single"/>
              <w:right w:sz="10" w:color="FFFFFF" w:val="single"/>
            </w:tcBorders>
          </w:tcPr>
          <w:p>
            <w:r>
              <w:t/>
            </w:r>
          </w:p>
        </w:tc>
        <w:tc>
          <w:tcPr>
            <w:tcW w:w="442" w:type="dxa"/>
            <w:hMerge w:val="continue"/>
            <w:tcBorders>
              <w:top w:sz="10" w:color="FFFFFF" w:val="single"/>
              <w:left w:sz="10" w:color="FFFFFF" w:val="single"/>
              <w:bottom w:sz="10" w:color="000000" w:val="single"/>
              <w:right w:sz="10" w:color="FFFFFF" w:val="single"/>
            </w:tcBorders>
          </w:tcPr>
          <w:p>
            <w:r>
              <w:t/>
            </w:r>
          </w:p>
        </w:tc>
        <w:tc>
          <w:tcPr>
            <w:tcW w:w="453" w:type="dxa"/>
            <w:hMerge w:val="continue"/>
            <w:tcBorders>
              <w:top w:sz="10" w:color="FFFFFF" w:val="single"/>
              <w:left w:sz="10" w:color="FFFFFF" w:val="single"/>
              <w:bottom w:sz="10" w:color="000000" w:val="single"/>
              <w:right w:sz="10" w:color="FFFFFF" w:val="single"/>
            </w:tcBorders>
          </w:tcPr>
          <w:p>
            <w:r>
              <w:t/>
            </w:r>
          </w:p>
        </w:tc>
        <w:tc>
          <w:tcPr>
            <w:tcW w:w="362" w:type="dxa"/>
            <w:tcBorders>
              <w:top w:sz="10" w:color="FFFFFF" w:val="single"/>
              <w:left w:sz="10" w:color="FFFFFF" w:val="single"/>
              <w:bottom w:sz="10" w:color="000000" w:val="single"/>
              <w:right w:sz="10" w:color="FFFFFF" w:val="single"/>
            </w:tcBorders>
            <w:vAlign w:val="top"/>
          </w:tcPr>
          <w:p>
            <w:pPr>
              <w:jc w:val="left"/>
            </w:pPr>
            <w:r>
              <w:rPr>
                <w:rFonts w:ascii="仿宋" w:hAnsi="仿宋" w:cs="仿宋" w:eastAsia="仿宋"/>
              </w:rPr>
              <w:t>   </w:t>
            </w:r>
          </w:p>
        </w:tc>
        <w:tc>
          <w:tcPr>
            <w:tcW w:w="425" w:type="dxa"/>
            <w:hMerge w:val="restart"/>
            <w:tcBorders>
              <w:top w:sz="10" w:color="FFFFFF" w:val="single"/>
              <w:left w:sz="10" w:color="FFFFFF" w:val="single"/>
              <w:bottom w:sz="10" w:color="000000" w:val="single"/>
              <w:right w:sz="10" w:color="FFFFFF" w:val="single"/>
            </w:tcBorders>
            <w:vAlign w:val="bottom"/>
          </w:tcPr>
          <w:p>
            <w:pPr>
              <w:jc w:val="right"/>
            </w:pPr>
            <w:r>
              <w:rPr>
                <w:rFonts w:ascii="仿宋" w:hAnsi="仿宋" w:cs="仿宋" w:eastAsia="仿宋"/>
              </w:rPr>
              <w:t>单位：万元</w:t>
            </w:r>
          </w:p>
        </w:tc>
        <w:tc>
          <w:tcPr>
            <w:tcW w:w="453" w:type="dxa"/>
            <w:hMerge w:val="continue"/>
            <w:tcBorders>
              <w:top w:sz="10" w:color="FFFFFF" w:val="single"/>
              <w:left w:sz="10" w:color="FFFFFF" w:val="single"/>
              <w:bottom w:sz="10" w:color="000000" w:val="single"/>
              <w:right w:sz="10" w:color="FFFFFF" w:val="single"/>
            </w:tcBorders>
          </w:tcPr>
          <w:p>
            <w:r>
              <w:t/>
            </w:r>
          </w:p>
        </w:tc>
        <w:tc>
          <w:tcPr>
            <w:tcW w:w="317" w:type="dxa"/>
            <w:hMerge w:val="continue"/>
            <w:tcBorders>
              <w:top w:sz="10" w:color="FFFFFF" w:val="single"/>
              <w:left w:sz="10" w:color="FFFFFF" w:val="single"/>
              <w:bottom w:sz="10" w:color="000000" w:val="single"/>
              <w:right w:sz="10" w:color="FFFFFF" w:val="single"/>
            </w:tcBorders>
          </w:tcPr>
          <w:p>
            <w:r>
              <w:t/>
            </w:r>
          </w:p>
        </w:tc>
        <w:tc>
          <w:tcPr>
            <w:tcW w:w="511" w:type="dxa"/>
            <w:hMerge w:val="continue"/>
            <w:tcBorders>
              <w:top w:sz="10" w:color="FFFFFF" w:val="single"/>
              <w:left w:sz="10" w:color="FFFFFF" w:val="single"/>
              <w:bottom w:sz="10" w:color="000000" w:val="single"/>
              <w:right w:sz="10" w:color="FFFFFF" w:val="single"/>
            </w:tcBorders>
          </w:tcPr>
          <w:p>
            <w:r>
              <w:t/>
            </w:r>
          </w:p>
        </w:tc>
      </w:tr>
      <w:tr>
        <w:trPr>
          <w:cantSplit/>
        </w:trPr>
        <w:tc>
          <w:tcPr>
            <w:tcW w:w="617"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项目类型</w:t>
            </w:r>
          </w:p>
        </w:tc>
        <w:tc>
          <w:tcPr>
            <w:tcW w:w="1921"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项目名称</w:t>
            </w:r>
          </w:p>
        </w:tc>
        <w:tc>
          <w:tcPr>
            <w:tcW w:w="2109"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项目单位</w:t>
            </w:r>
          </w:p>
        </w:tc>
        <w:tc>
          <w:tcPr>
            <w:tcW w:w="646"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合计</w:t>
            </w:r>
          </w:p>
        </w:tc>
        <w:tc>
          <w:tcPr>
            <w:tcW w:w="771"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2026年财政拨款</w:t>
            </w:r>
          </w:p>
        </w:tc>
        <w:tc>
          <w:tcPr>
            <w:tcW w:w="442" w:type="dxa"/>
            <w:hMerge w:val="continue"/>
            <w:tcBorders>
              <w:top w:sz="10" w:color="000000" w:val="single"/>
              <w:left w:sz="10" w:color="000000" w:val="single"/>
              <w:bottom w:sz="10" w:color="000000" w:val="single"/>
              <w:right w:sz="10" w:color="000000" w:val="single"/>
            </w:tcBorders>
          </w:tcPr>
          <w:p>
            <w:r>
              <w:t/>
            </w:r>
          </w:p>
        </w:tc>
        <w:tc>
          <w:tcPr>
            <w:tcW w:w="453" w:type="dxa"/>
            <w:hMerge w:val="continue"/>
            <w:tcBorders>
              <w:top w:sz="10" w:color="000000" w:val="single"/>
              <w:left w:sz="10" w:color="000000" w:val="single"/>
              <w:bottom w:sz="10" w:color="000000" w:val="single"/>
              <w:right w:sz="10" w:color="000000" w:val="single"/>
            </w:tcBorders>
          </w:tcPr>
          <w:p>
            <w:r>
              <w:t/>
            </w:r>
          </w:p>
        </w:tc>
        <w:tc>
          <w:tcPr>
            <w:tcW w:w="362" w:type="dxa"/>
            <w:h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财政拨款结转结余</w:t>
            </w:r>
          </w:p>
        </w:tc>
        <w:tc>
          <w:tcPr>
            <w:tcW w:w="425" w:type="dxa"/>
            <w:hMerge w:val="continue"/>
            <w:tcBorders>
              <w:top w:sz="10" w:color="000000" w:val="single"/>
              <w:left w:sz="10" w:color="000000" w:val="single"/>
              <w:bottom w:sz="10" w:color="000000" w:val="single"/>
              <w:right w:sz="10" w:color="000000" w:val="single"/>
            </w:tcBorders>
          </w:tcPr>
          <w:p>
            <w:r>
              <w:t/>
            </w:r>
          </w:p>
        </w:tc>
        <w:tc>
          <w:tcPr>
            <w:tcW w:w="453" w:type="dxa"/>
            <w:hMerge w:val="continue"/>
            <w:tcBorders>
              <w:top w:sz="10" w:color="000000" w:val="single"/>
              <w:left w:sz="10" w:color="000000" w:val="single"/>
              <w:bottom w:sz="10" w:color="000000" w:val="single"/>
              <w:right w:sz="10" w:color="000000" w:val="single"/>
            </w:tcBorders>
          </w:tcPr>
          <w:p>
            <w:r>
              <w:t/>
            </w:r>
          </w:p>
        </w:tc>
        <w:tc>
          <w:tcPr>
            <w:tcW w:w="317"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财政专户管理资金</w:t>
            </w:r>
          </w:p>
        </w:tc>
        <w:tc>
          <w:tcPr>
            <w:tcW w:w="511" w:type="dxa"/>
            <w:vMerge w:val="restart"/>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单位资金</w:t>
            </w:r>
          </w:p>
        </w:tc>
      </w:tr>
      <w:tr>
        <w:trPr>
          <w:cantSplit/>
        </w:trPr>
        <w:tc>
          <w:tcPr>
            <w:tcW w:w="617" w:type="dxa"/>
            <w:vMerge w:val="continue"/>
            <w:tcBorders>
              <w:top w:sz="10" w:color="000000" w:val="single"/>
              <w:left w:sz="10" w:color="000000" w:val="single"/>
              <w:bottom w:sz="10" w:color="000000" w:val="single"/>
              <w:right w:sz="10" w:color="000000" w:val="single"/>
            </w:tcBorders>
          </w:tcPr>
          <w:p>
            <w:r>
              <w:t/>
            </w:r>
          </w:p>
        </w:tc>
        <w:tc>
          <w:tcPr>
            <w:tcW w:w="1921" w:type="dxa"/>
            <w:vMerge w:val="continue"/>
            <w:tcBorders>
              <w:top w:sz="10" w:color="000000" w:val="single"/>
              <w:left w:sz="10" w:color="000000" w:val="single"/>
              <w:bottom w:sz="10" w:color="000000" w:val="single"/>
              <w:right w:sz="10" w:color="000000" w:val="single"/>
            </w:tcBorders>
          </w:tcPr>
          <w:p>
            <w:r>
              <w:t/>
            </w:r>
          </w:p>
        </w:tc>
        <w:tc>
          <w:tcPr>
            <w:tcW w:w="2109" w:type="dxa"/>
            <w:vMerge w:val="continue"/>
            <w:tcBorders>
              <w:top w:sz="10" w:color="000000" w:val="single"/>
              <w:left w:sz="10" w:color="000000" w:val="single"/>
              <w:bottom w:sz="10" w:color="000000" w:val="single"/>
              <w:right w:sz="10" w:color="000000" w:val="single"/>
            </w:tcBorders>
          </w:tcPr>
          <w:p>
            <w:r>
              <w:t/>
            </w:r>
          </w:p>
        </w:tc>
        <w:tc>
          <w:tcPr>
            <w:tcW w:w="646" w:type="dxa"/>
            <w:vMerge w:val="continue"/>
            <w:tcBorders>
              <w:top w:sz="10" w:color="000000" w:val="single"/>
              <w:left w:sz="10" w:color="000000" w:val="single"/>
              <w:bottom w:sz="10" w:color="000000" w:val="single"/>
              <w:right w:sz="10" w:color="000000" w:val="single"/>
            </w:tcBorders>
          </w:tcPr>
          <w:p>
            <w:r>
              <w:t/>
            </w:r>
          </w:p>
        </w:tc>
        <w:tc>
          <w:tcPr>
            <w:tcW w:w="771"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一般公共预算</w:t>
            </w:r>
          </w:p>
        </w:tc>
        <w:tc>
          <w:tcPr>
            <w:tcW w:w="44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政府性基金预算</w:t>
            </w:r>
          </w:p>
        </w:tc>
        <w:tc>
          <w:tcPr>
            <w:tcW w:w="45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国有资本经营预算</w:t>
            </w:r>
          </w:p>
        </w:tc>
        <w:tc>
          <w:tcPr>
            <w:tcW w:w="362"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一般公共预算</w:t>
            </w:r>
          </w:p>
        </w:tc>
        <w:tc>
          <w:tcPr>
            <w:tcW w:w="425"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政府性基金预算</w:t>
            </w:r>
          </w:p>
        </w:tc>
        <w:tc>
          <w:tcPr>
            <w:tcW w:w="453" w:type="dxa"/>
            <w:tcBorders>
              <w:top w:sz="10" w:color="000000" w:val="single"/>
              <w:left w:sz="10" w:color="000000" w:val="single"/>
              <w:bottom w:sz="10" w:color="000000" w:val="single"/>
              <w:right w:sz="10" w:color="000000" w:val="single"/>
            </w:tcBorders>
            <w:vAlign w:val="center"/>
          </w:tcPr>
          <w:p>
            <w:pPr>
              <w:jc w:val="center"/>
            </w:pPr>
            <w:r>
              <w:rPr>
                <w:rFonts w:ascii="宋体" w:hAnsi="宋体" w:cs="宋体" w:eastAsia="宋体"/>
              </w:rPr>
              <w:t>国有资本经营预算</w:t>
            </w:r>
          </w:p>
        </w:tc>
        <w:tc>
          <w:tcPr>
            <w:tcW w:w="317" w:type="dxa"/>
            <w:vMerge w:val="continue"/>
            <w:tcBorders>
              <w:top w:sz="10" w:color="000000" w:val="single"/>
              <w:left w:sz="10" w:color="000000" w:val="single"/>
              <w:bottom w:sz="10" w:color="000000" w:val="single"/>
              <w:right w:sz="10" w:color="000000" w:val="single"/>
            </w:tcBorders>
          </w:tcPr>
          <w:p>
            <w:r>
              <w:t/>
            </w:r>
          </w:p>
        </w:tc>
        <w:tc>
          <w:tcPr>
            <w:tcW w:w="511" w:type="dxa"/>
            <w:vMerge w:val="continue"/>
            <w:tcBorders>
              <w:top w:sz="10" w:color="000000" w:val="single"/>
              <w:left w:sz="10" w:color="000000" w:val="single"/>
              <w:bottom w:sz="10" w:color="000000" w:val="single"/>
              <w:right w:sz="10" w:color="000000" w:val="single"/>
            </w:tcBorders>
          </w:tcPr>
          <w:p>
            <w:r>
              <w:t/>
            </w:r>
          </w:p>
        </w:tc>
      </w:tr>
      <w:tr>
        <w:trPr>
          <w:cantSplit/>
        </w:trPr>
        <w:tc>
          <w:tcPr>
            <w:tcW w:w="617" w:type="dxa"/>
            <w:tcBorders>
              <w:top w:sz="10" w:color="000000" w:val="single"/>
              <w:left w:sz="10" w:color="000000" w:val="single"/>
              <w:bottom w:sz="10" w:color="000000" w:val="single"/>
              <w:right w:sz="10" w:color="000000" w:val="single"/>
            </w:tcBorders>
            <w:vAlign w:val="top"/>
          </w:tcPr>
          <w:p>
            <w:pPr>
              <w:jc w:val="left"/>
            </w:pPr>
            <w:r>
              <w:rPr>
                <w:rFonts w:ascii="仿宋" w:hAnsi="仿宋" w:cs="仿宋" w:eastAsia="仿宋"/>
              </w:rPr>
              <w:t>   </w:t>
            </w:r>
          </w:p>
        </w:tc>
        <w:tc>
          <w:tcPr>
            <w:tcW w:w="1921" w:type="dxa"/>
            <w:tcBorders>
              <w:top w:sz="10" w:color="000000" w:val="single"/>
              <w:left w:sz="10" w:color="000000" w:val="single"/>
              <w:bottom w:sz="10" w:color="000000" w:val="single"/>
              <w:right w:sz="10" w:color="000000" w:val="single"/>
            </w:tcBorders>
            <w:vAlign w:val="top"/>
          </w:tcPr>
          <w:p>
            <w:pPr>
              <w:jc w:val="left"/>
            </w:pPr>
            <w:r>
              <w:rPr>
                <w:rFonts w:ascii="仿宋" w:hAnsi="仿宋" w:cs="仿宋" w:eastAsia="仿宋"/>
              </w:rPr>
              <w:t>   </w:t>
            </w:r>
          </w:p>
        </w:tc>
        <w:tc>
          <w:tcPr>
            <w:tcW w:w="2109" w:type="dxa"/>
            <w:tcBorders>
              <w:top w:sz="10" w:color="000000" w:val="single"/>
              <w:left w:sz="10" w:color="000000" w:val="single"/>
              <w:bottom w:sz="10" w:color="000000" w:val="single"/>
              <w:right w:sz="10" w:color="000000" w:val="single"/>
            </w:tcBorders>
            <w:vAlign w:val="center"/>
          </w:tcPr>
          <w:p>
            <w:pPr>
              <w:jc w:val="center"/>
            </w:pPr>
            <w:r>
              <w:rPr>
                <w:rFonts w:ascii="仿宋" w:hAnsi="仿宋" w:cs="仿宋" w:eastAsia="仿宋"/>
              </w:rPr>
              <w:t>合计</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12288.89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8505.41</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2838.49</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944.99</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维稳经费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天津市西青区王稳庄镇综合治理中心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采暖期农村清洁取暖运行补贴（区级）-调整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26.88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26.88</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社区工作者体检经费（市级资金）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1.32</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王稳庄镇2024-2025年林地绿化养护项目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2023年市级林业专项资金-重点生态林管护</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13.78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13.78</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2025年超长期特别国债——天津市县域医共体医疗设备更新项目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50.22</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老年乡村医生养老补助（区级资金）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57.00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2023年农村房屋安全隐患整治专项补贴转移支付资金（区级资金）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258.97</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2026年公用经费项目（教育系统综合业务费）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天津市西青区王稳庄镇中心小学</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196.78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196.78</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民办普惠园民专公项目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101.50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101.50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2023年度铁路护路联防工作“以奖代补“经费（区级资金）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2.36</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农村专职网格员资金支持</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天津市西青区王稳庄镇综合治理中心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20.64</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党建工作经费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王稳庄镇环保技术服务项目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61.00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社区办公经费-市级</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0.00</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社会组织服务管理中心账户维护经费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0.20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0.20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社区工作者体检经费（2024年）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1.32</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王稳庄镇第五轮大筛补助资金（市级）</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0.01</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0.01</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社区服务群众专项经费（镇级资金）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2025年中央支持地方公共文化服务体系建设补助资金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0.18</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2025年中央支持地方公共文化服务体系建设补助资金（第二批）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0.06</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2023年重大传染病防控经费（第二批）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0.39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0.39</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各村食药品协管员补贴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17.28</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道路交通设施设备安装</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西青区严重精神障碍患者监护人申领管理资金（区级资金）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56.16</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老放映员生活补助（区级资金）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1.75</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王稳庄镇网格化管理专项资金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社区办公经费（市级）</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2.63</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2.63</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王稳庄镇科协科普活动经费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对口支援帮扶经费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102.30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102.30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2025-2028年王稳庄镇河道保洁项目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西青区绿色生态屏障设施养管维护项目（区级资金）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农村服务群众专项经费（区级资金）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75.00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75.00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选调生到村任职工作区级补助资金（区级资金）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王稳庄镇2025年各村转移支付资金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2024年农村生活污水处理设施补助资金（市级资金）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8.91</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8.91</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2025年基层公共文化服务体系建设市级补助资金（第二批）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0.55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0.55</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重大传染病防控经费（2025年中央）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2.18</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2025年高校毕业生“三支一扶”计划中央财政补助资金（中央专款）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天津市西青区小孙庄中心小学</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2025年高校毕业生“三支一扶”计划中央财政补助资金（中央专款）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王稳庄镇平坊村电动自行车棚安装</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安全生产、食品安全举报奖励机制及日常运维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2020年第三批水污染防治专项资金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1000.00</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采暖期居民冬季清洁取暖运行补贴（区级资金）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社区办公经费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5.99</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社区办公经费（2024年）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0.26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0.26</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车辆租赁及行政运转经费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118.00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118.00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退役军人服务站日常及活动经费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天津市西青区王稳庄镇退役军人服务站</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新增视频监控（小快灵）项目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王稳庄镇各居民小区绿化提升建设项目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2026年王稳庄镇水质监测服务项目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王稳庄镇1、2、3号污水泵站运维资金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疾病预防控制与管理服务-天津市消除丙肝行动项目（2025年市级）</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0.54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0.54</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宣传报刊项目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公共卫生项目-肺结核防治、筛查项目（2024年）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0.15</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2025年高校毕业生“三支一扶”计划中央财政补助资金（中央专款）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2.46</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民政运行经费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2025年社区办公经费（市级第三批）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0.03</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0.03</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王稳庄镇“绿水青山就是金山银山”实践创新基地复核评估技术服务</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寿寝堂运行经费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视频监控（小快灵）项目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武装部经费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退休人员慰问费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王稳庄镇稳定运转专项资金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1470.04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1470.04</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王稳庄镇农业农村发展服务中心一体化泵站运行费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2026年防汛物资采购涵闸维护项目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王稳庄镇稻香农谷绿化养管</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王稳庄镇2025-2026年林地绿化养护项目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2024-2026农村生活污水官网及污水处理站运行维护项目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王稳庄镇政府净收益资金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68.33</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68.33</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王稳庄镇政府净收益资金补助</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196.03</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196.03</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涉农区2025年重点生态林管护市级财政补助</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16.99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16.99</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农村卫生户厕改造（区级资金）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374.64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374.64</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2026年公共文化服务体系建设补助资金（免费开放）（区级资金）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创文项目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网信工作（电子政务专网外网线路租用费）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11.26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11.26</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2023年度中央转移支付重大传染病防控经费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0.75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0.75</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西青区绿色生态屏障设施养管维护项目（区级资金）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782.52</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劳服招聘会</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一村一律经费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天津市西青区王稳庄镇综合治理中心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镇团委活动经费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王稳庄镇规划项目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全国1%人口抽样调查</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1.80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*王稳庄镇环保技术服务项目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44.25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44.25</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2026年人员招聘</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三资代理服务费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51.50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51.50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西青区王稳庄镇2024年度耕地“进出平衡”方案技术服务合同</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西青区退渔还湿共工程退出池塘土地流转补偿（区级资金）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826.43</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826.43</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2026年王稳庄镇农业发展服务中心稳定运转资金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2026中央支持地方公共文化服务体系建设补助资金（免费开放）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2026年中央支持地方公共文化服务体系建设补助资金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5.62</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2025年基本公共卫生市级补助资金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11.59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11.59</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重大传染病防控经费(2025中央)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2.40</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2026年公用经费项目（教育系统综合业务费）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天津市西青区小孙庄中心小学</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78.22</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原代课教师补贴项目（区级资金）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天津市西青区王稳庄镇教育服务中心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65.00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65.00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2022年度铁路护路联防工作“以奖代补”资金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6.31</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6.31</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2024年铁路护路联防工作专项经费-2025年市级</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4.16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4.16</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第三方安全技术服务费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春节慰问单亲困难母亲及妇联活动经费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1.65</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国家住户调查补贴</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6.24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6.24</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第四次全国农业普查清查</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城市管理治理项目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天津市西青区王稳庄镇综合执法大队</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社区工作者体检经费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1.41</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1.41</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2025年中央财政大中型水库移民后期扶持资金（基金）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90.73</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2025年第三批重点项目前期工作经费-天津（西青）国家级车联网先导区智能网联汽车封闭测试场北部地块项目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23.96</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23.96</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王稳庄镇地上树木复植工程清单控制价编制项目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0.39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0.39</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村级组织运转经费（村干部报酬待遇经费）(区级资金)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552.00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552.00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2025年基层公共文化服务体系建设市级补助资金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0.75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0.75</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2025年中央支持地方公共文化服务体系建设补助资金（免费开放）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0.69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0.69</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公共文旅体服务费用</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7.00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疾病预防控制与管理服务-结核病防治、筛查（2025年市级）</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1.02</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2024年重大传染病防控经费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2.19</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2.19</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2025年高校毕业生“三支一扶”计划中央财政补助资金（中央专款）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天津市西青区王稳庄镇中心小学</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10.61</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10.61</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2025年高校毕业生“三支一扶”计划中央财政补助资金（中央专款）</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3.74</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律师费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8.00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人大代表服务和工作阵地建设以及人大代表换届经费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13.50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农村、社区基层党建工作经费（区级资金）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14.45</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西青区王稳庄镇建新村地上物堆存及地下掩埋固体废物处置项目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288.74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288.74</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计生专项补贴及培训宣传费用</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天津市西青区王稳庄镇党群服务中心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34.00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34.00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*2021-2024农村生活污水管网及污水处理运维项目、2022-2025年度王稳庄镇河道保洁项目、垃圾分类建设项目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357.18</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357.18</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人居环境整治项目</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天津市西青区王稳庄镇农业农村发展服务中心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1227.00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1227.00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村干部2025年考核报酬</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192.50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192.50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2025年市级农业农村转移支付资金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500.00</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2026年基层公共文化服务体系建设市级补助资金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0.77</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0.77</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严重精神障碍患者门诊治疗使用免费基本药品（区级资金）</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天津市西青区王稳庄镇社区卫生服务中心</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15.00</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15.00</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其他运转类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2026年公用经费项目（教育系统综合业务费）</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天津市西青区东兰坨中心小学</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93.04</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93.04</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r>
        <w:trPr>
          <w:cantSplit/>
        </w:trPr>
        <w:tc>
          <w:tcPr>
            <w:tcW w:w="617"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特定目标类</w:t>
            </w:r>
          </w:p>
        </w:tc>
        <w:tc>
          <w:tcPr>
            <w:tcW w:w="1921"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北区幼儿园生均经费区级部分</w:t>
            </w:r>
          </w:p>
        </w:tc>
        <w:tc>
          <w:tcPr>
            <w:tcW w:w="2109" w:type="dxa"/>
            <w:tcBorders>
              <w:top w:sz="10" w:color="000000" w:val="single"/>
              <w:left w:sz="10" w:color="000000" w:val="single"/>
              <w:bottom w:sz="10" w:color="000000" w:val="single"/>
              <w:right w:sz="10" w:color="000000" w:val="single"/>
            </w:tcBorders>
            <w:vAlign w:val="center"/>
          </w:tcPr>
          <w:p>
            <w:pPr>
              <w:jc w:val="left"/>
            </w:pPr>
            <w:r>
              <w:rPr>
                <w:rFonts w:ascii="宋体" w:hAnsi="宋体" w:cs="宋体" w:eastAsia="宋体"/>
              </w:rPr>
              <w:t>天津市西青区王稳庄镇人民政府</w:t>
            </w:r>
          </w:p>
        </w:tc>
        <w:tc>
          <w:tcPr>
            <w:tcW w:w="646"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39.55</w:t>
            </w:r>
          </w:p>
        </w:tc>
        <w:tc>
          <w:tcPr>
            <w:tcW w:w="77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39.55</w:t>
            </w:r>
          </w:p>
        </w:tc>
        <w:tc>
          <w:tcPr>
            <w:tcW w:w="44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62"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25"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453"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317"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c>
          <w:tcPr>
            <w:tcW w:w="511" w:type="dxa"/>
            <w:tcBorders>
              <w:top w:sz="10" w:color="000000" w:val="single"/>
              <w:left w:sz="10" w:color="000000" w:val="single"/>
              <w:bottom w:sz="10" w:color="000000" w:val="single"/>
              <w:right w:sz="10" w:color="000000" w:val="single"/>
            </w:tcBorders>
            <w:vAlign w:val="center"/>
          </w:tcPr>
          <w:p>
            <w:pPr>
              <w:jc w:val="right"/>
            </w:pPr>
            <w:r>
              <w:rPr>
                <w:rFonts w:ascii="宋体" w:hAnsi="宋体" w:cs="宋体" w:eastAsia="宋体"/>
              </w:rPr>
              <w:t>   </w:t>
            </w:r>
          </w:p>
        </w:tc>
      </w:tr>
    </w:tbl>
    <w:p>
      <w:pPr>
        <w:sectPr>
          <w:headerReference w:type="default" r:id="rId20"/>
          <w:footerReference w:type="default" r:id="rId21"/>
          <w:pgSz w:orient="portrait" w:w="11906" w:h="16838"/>
        </w:sectPr>
      </w:pP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本部门2026年国有资本经营预算支出情况表为空表</w:t>
      </w:r>
    </w:p>
  </w:body>
</w:document>
</file>

<file path=word/footer1.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2.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3.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4.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5.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6.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7.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8.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9.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footer10.xml><?xml version="1.0" encoding="utf-8"?>
<w:ftr xmlns:w="http://schemas.openxmlformats.org/wordprocessingml/2006/main">
  <w:p>
    <w:pPr>
      <w:jc w:val="left"/>
    </w:pPr>
    <w:r>
      <w:t/>
    </w:r>
  </w:p>
  <w:p>
    <w:pPr>
      <w:jc w:val="left"/>
    </w:pPr>
    <w:r>
      <w:t>-</w:t>
      <w:fldChar w:fldCharType="begin"/>
    </w:r>
    <w:r>
      <w:instrText>PAGE\* MERGEFORMAT-</w:instrText>
      <w:fldChar w:fldCharType="end"/>
    </w:r>
    <w:r>
      <w:t>-</w:t>
    </w:r>
  </w:p>
</w:ftr>
</file>

<file path=word/header1.xml><?xml version="1.0" encoding="utf-8"?>
<w:hdr xmlns:w="http://schemas.openxmlformats.org/wordprocessingml/2006/main">
  <w:p>
    <w:pPr>
      <w:jc w:val="center"/>
    </w:pPr>
    <w:r>
      <w:t>天津市西青区王稳庄镇人民政府2026年部门预算公开报告</w:t>
    </w:r>
  </w:p>
</w:hdr>
</file>

<file path=word/header2.xml><?xml version="1.0" encoding="utf-8"?>
<w:hdr xmlns:w="http://schemas.openxmlformats.org/wordprocessingml/2006/main">
  <w:p>
    <w:pPr>
      <w:jc w:val="center"/>
    </w:pPr>
    <w:r>
      <w:t>天津市西青区王稳庄镇人民政府2026年部门预算公开报告</w:t>
    </w:r>
  </w:p>
</w:hdr>
</file>

<file path=word/header3.xml><?xml version="1.0" encoding="utf-8"?>
<w:hdr xmlns:w="http://schemas.openxmlformats.org/wordprocessingml/2006/main">
  <w:p>
    <w:pPr>
      <w:jc w:val="center"/>
    </w:pPr>
    <w:r>
      <w:t>天津市西青区王稳庄镇人民政府2026年部门预算公开报告</w:t>
    </w:r>
  </w:p>
</w:hdr>
</file>

<file path=word/header4.xml><?xml version="1.0" encoding="utf-8"?>
<w:hdr xmlns:w="http://schemas.openxmlformats.org/wordprocessingml/2006/main">
  <w:p>
    <w:pPr>
      <w:jc w:val="center"/>
    </w:pPr>
    <w:r>
      <w:t>天津市西青区王稳庄镇人民政府2026年部门预算公开报告</w:t>
    </w:r>
  </w:p>
</w:hdr>
</file>

<file path=word/header5.xml><?xml version="1.0" encoding="utf-8"?>
<w:hdr xmlns:w="http://schemas.openxmlformats.org/wordprocessingml/2006/main">
  <w:p>
    <w:pPr>
      <w:jc w:val="center"/>
    </w:pPr>
    <w:r>
      <w:t>天津市西青区王稳庄镇人民政府2026年部门预算公开报告</w:t>
    </w:r>
  </w:p>
</w:hdr>
</file>

<file path=word/header6.xml><?xml version="1.0" encoding="utf-8"?>
<w:hdr xmlns:w="http://schemas.openxmlformats.org/wordprocessingml/2006/main">
  <w:p>
    <w:pPr>
      <w:jc w:val="center"/>
    </w:pPr>
    <w:r>
      <w:t>天津市西青区王稳庄镇人民政府2026年部门预算公开报告</w:t>
    </w:r>
  </w:p>
</w:hdr>
</file>

<file path=word/header7.xml><?xml version="1.0" encoding="utf-8"?>
<w:hdr xmlns:w="http://schemas.openxmlformats.org/wordprocessingml/2006/main">
  <w:p>
    <w:pPr>
      <w:jc w:val="center"/>
    </w:pPr>
    <w:r>
      <w:t>天津市西青区王稳庄镇人民政府2026年部门预算公开报告</w:t>
    </w:r>
  </w:p>
</w:hdr>
</file>

<file path=word/header8.xml><?xml version="1.0" encoding="utf-8"?>
<w:hdr xmlns:w="http://schemas.openxmlformats.org/wordprocessingml/2006/main">
  <w:p>
    <w:pPr>
      <w:jc w:val="center"/>
    </w:pPr>
    <w:r>
      <w:t>天津市西青区王稳庄镇人民政府2026年部门预算公开报告</w:t>
    </w:r>
  </w:p>
</w:hdr>
</file>

<file path=word/header9.xml><?xml version="1.0" encoding="utf-8"?>
<w:hdr xmlns:w="http://schemas.openxmlformats.org/wordprocessingml/2006/main">
  <w:p>
    <w:pPr>
      <w:jc w:val="center"/>
    </w:pPr>
    <w:r>
      <w:t>天津市西青区王稳庄镇人民政府2026年部门预算公开报告</w:t>
    </w:r>
  </w:p>
</w:hdr>
</file>

<file path=word/header10.xml><?xml version="1.0" encoding="utf-8"?>
<w:hdr xmlns:w="http://schemas.openxmlformats.org/wordprocessingml/2006/main">
  <w:p>
    <w:pPr>
      <w:jc w:val="center"/>
    </w:pPr>
    <w:r>
      <w:t>天津市西青区王稳庄镇人民政府2026年部门预算公开报告</w:t>
    </w:r>
  </w:p>
</w:hdr>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 Id="rId10" Target="header5.xml" Type="http://schemas.openxmlformats.org/officeDocument/2006/relationships/header"/><Relationship Id="rId11" Target="footer5.xml" Type="http://schemas.openxmlformats.org/officeDocument/2006/relationships/footer"/><Relationship Id="rId12" Target="header6.xml" Type="http://schemas.openxmlformats.org/officeDocument/2006/relationships/header"/><Relationship Id="rId13" Target="footer6.xml" Type="http://schemas.openxmlformats.org/officeDocument/2006/relationships/footer"/><Relationship Id="rId14" Target="header7.xml" Type="http://schemas.openxmlformats.org/officeDocument/2006/relationships/header"/><Relationship Id="rId15" Target="footer7.xml" Type="http://schemas.openxmlformats.org/officeDocument/2006/relationships/footer"/><Relationship Id="rId16" Target="header8.xml" Type="http://schemas.openxmlformats.org/officeDocument/2006/relationships/header"/><Relationship Id="rId17" Target="footer8.xml" Type="http://schemas.openxmlformats.org/officeDocument/2006/relationships/footer"/><Relationship Id="rId18" Target="header9.xml" Type="http://schemas.openxmlformats.org/officeDocument/2006/relationships/header"/><Relationship Id="rId19" Target="footer9.xml" Type="http://schemas.openxmlformats.org/officeDocument/2006/relationships/footer"/><Relationship Id="rId2" Target="header1.xml" Type="http://schemas.openxmlformats.org/officeDocument/2006/relationships/header"/><Relationship Id="rId20" Target="header10.xml" Type="http://schemas.openxmlformats.org/officeDocument/2006/relationships/header"/><Relationship Id="rId21" Target="footer10.xml" Type="http://schemas.openxmlformats.org/officeDocument/2006/relationships/footer"/><Relationship Id="rId3" Target="footer1.xml" Type="http://schemas.openxmlformats.org/officeDocument/2006/relationships/footer"/><Relationship Id="rId4" Target="header2.xml" Type="http://schemas.openxmlformats.org/officeDocument/2006/relationships/header"/><Relationship Id="rId5" Target="footer2.xml" Type="http://schemas.openxmlformats.org/officeDocument/2006/relationships/footer"/><Relationship Id="rId6" Target="header3.xml" Type="http://schemas.openxmlformats.org/officeDocument/2006/relationships/header"/><Relationship Id="rId7" Target="footer3.xml" Type="http://schemas.openxmlformats.org/officeDocument/2006/relationships/footer"/><Relationship Id="rId8" Target="header4.xml" Type="http://schemas.openxmlformats.org/officeDocument/2006/relationships/header"/><Relationship Id="rId9" Target="footer4.xml" Type="http://schemas.openxmlformats.org/officeDocument/2006/relationships/foot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2026-03-12T02:50:12Z</dcterms:created>
  <dc:creator>Apache POI</dc:creator>
</cp:coreProperties>
</file>